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21147149" w:displacedByCustomXml="next"/>
    <w:bookmarkStart w:id="2" w:name="_Toc318188227" w:displacedByCustomXml="next"/>
    <w:bookmarkStart w:id="3" w:name="_Toc318188327" w:displacedByCustomXml="next"/>
    <w:bookmarkStart w:id="4" w:name="_Toc318189312" w:displacedByCustomXml="next"/>
    <w:bookmarkStart w:id="5" w:name="_Toc321147011" w:displacedByCustomXml="next"/>
    <w:bookmarkStart w:id="6" w:name="_Toc444585140" w:displacedByCustomXml="next"/>
    <w:sdt>
      <w:sdtPr>
        <w:rPr>
          <w:color w:val="595959" w:themeColor="text1" w:themeTint="A6"/>
          <w:sz w:val="24"/>
          <w:szCs w:val="22"/>
          <w:lang w:val="en-AU" w:eastAsia="en-US"/>
        </w:rPr>
        <w:id w:val="-1290352585"/>
        <w:docPartObj>
          <w:docPartGallery w:val="Cover Pages"/>
          <w:docPartUnique/>
        </w:docPartObj>
      </w:sdtPr>
      <w:sdtEndPr>
        <w:rPr>
          <w:color w:val="auto"/>
          <w:sz w:val="22"/>
        </w:rPr>
      </w:sdtEndPr>
      <w:sdtContent>
        <w:p w:rsidR="00E867A4" w:rsidRDefault="00480596" w:rsidP="00E867A4">
          <w:pPr>
            <w:pStyle w:val="NoSpacing"/>
            <w:rPr>
              <w:sz w:val="24"/>
            </w:rPr>
          </w:pPr>
          <w:r>
            <w:rPr>
              <w:noProof/>
              <w:lang w:val="en-AU" w:eastAsia="en-AU"/>
            </w:rPr>
            <mc:AlternateContent>
              <mc:Choice Requires="wps">
                <w:drawing>
                  <wp:anchor distT="0" distB="0" distL="114300" distR="114300" simplePos="0" relativeHeight="251660288" behindDoc="0" locked="0" layoutInCell="1" allowOverlap="0" wp14:anchorId="43CA3B2C" wp14:editId="404CE997">
                    <wp:simplePos x="0" y="0"/>
                    <wp:positionH relativeFrom="margin">
                      <wp:align>center</wp:align>
                    </wp:positionH>
                    <wp:positionV relativeFrom="margin">
                      <wp:align>bottom</wp:align>
                    </wp:positionV>
                    <wp:extent cx="5814060" cy="278765"/>
                    <wp:effectExtent l="0" t="0" r="15240" b="63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C69" w:rsidRPr="0092036C" w:rsidRDefault="003D3184" w:rsidP="00E867A4">
                                <w:pPr>
                                  <w:pStyle w:val="ContactInfo"/>
                                  <w:rPr>
                                    <w:b/>
                                    <w:sz w:val="22"/>
                                  </w:rPr>
                                </w:pPr>
                                <w:r>
                                  <w:rPr>
                                    <w:b/>
                                    <w:sz w:val="22"/>
                                    <w:lang w:val="en-AU"/>
                                  </w:rPr>
                                  <w:t>August</w:t>
                                </w:r>
                                <w:r w:rsidR="003A6C69" w:rsidRPr="0092036C">
                                  <w:rPr>
                                    <w:b/>
                                    <w:sz w:val="22"/>
                                    <w:lang w:val="en-AU"/>
                                  </w:rPr>
                                  <w:t xml:space="preserve"> 2016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0;width:457.8pt;height:21.95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" o:allowoverlap="f" filled="f" stroked="f" strokeweight=".5pt">
                    <v:path arrowok="t"/>
                    <v:textbox style="mso-fit-shape-to-text:t" inset="0,,0">
                      <w:txbxContent>
                        <w:p w:rsidR="003A6C69" w:rsidRPr="0092036C" w:rsidRDefault="003D3184" w:rsidP="00E867A4">
                          <w:pPr>
                            <w:pStyle w:val="ContactInfo"/>
                            <w:rPr>
                              <w:b/>
                              <w:sz w:val="22"/>
                            </w:rPr>
                          </w:pPr>
                          <w:r>
                            <w:rPr>
                              <w:b/>
                              <w:sz w:val="22"/>
                              <w:lang w:val="en-AU"/>
                            </w:rPr>
                            <w:t>August</w:t>
                          </w:r>
                          <w:r w:rsidR="003A6C69" w:rsidRPr="0092036C">
                            <w:rPr>
                              <w:b/>
                              <w:sz w:val="22"/>
                              <w:lang w:val="en-AU"/>
                            </w:rPr>
                            <w:t xml:space="preserve"> 2016</w:t>
                          </w:r>
                        </w:p>
                      </w:txbxContent>
                    </v:textbox>
                    <w10:wrap type="square" anchorx="margin" anchory="margin"/>
                  </v:shape>
                </w:pict>
              </mc:Fallback>
            </mc:AlternateContent>
          </w:r>
        </w:p>
        <w:p w:rsidR="00E867A4" w:rsidRDefault="00480596" w:rsidP="00E867A4">
          <w:r>
            <w:rPr>
              <w:noProof/>
              <w:lang w:eastAsia="en-AU"/>
            </w:rPr>
            <mc:AlternateContent>
              <mc:Choice Requires="wps">
                <w:drawing>
                  <wp:anchor distT="0" distB="0" distL="114300" distR="114300" simplePos="0" relativeHeight="251662336" behindDoc="0" locked="0" layoutInCell="1" allowOverlap="0" wp14:anchorId="61AA2131" wp14:editId="56C83EC0">
                    <wp:simplePos x="0" y="0"/>
                    <wp:positionH relativeFrom="margin">
                      <wp:posOffset>510540</wp:posOffset>
                    </wp:positionH>
                    <wp:positionV relativeFrom="margin">
                      <wp:posOffset>7368540</wp:posOffset>
                    </wp:positionV>
                    <wp:extent cx="5810250" cy="967105"/>
                    <wp:effectExtent l="0" t="0" r="15240" b="444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67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4A442A" w:themeColor="background2" w:themeShade="40"/>
                                    <w:sz w:val="44"/>
                                    <w:szCs w:val="44"/>
                                    <w:lang w:val="en-US" w:eastAsia="ja-JP"/>
                                  </w:rPr>
                                  <w:alias w:val="Title"/>
                                  <w:tag w:val=""/>
                                  <w:id w:val="1589493848"/>
                                  <w:dataBinding w:prefixMappings="xmlns:ns0='http://purl.org/dc/elements/1.1/' xmlns:ns1='http://schemas.openxmlformats.org/package/2006/metadata/core-properties' " w:xpath="/ns1:coreProperties[1]/ns0:title[1]" w:storeItemID="{6C3C8BC8-F283-45AE-878A-BAB7291924A1}"/>
                                  <w:text/>
                                </w:sdtPr>
                                <w:sdtEndPr/>
                                <w:sdtContent>
                                  <w:p w:rsidR="003A6C69" w:rsidRPr="0092036C" w:rsidRDefault="003A6C69" w:rsidP="00E867A4">
                                    <w:pPr>
                                      <w:pStyle w:val="Title"/>
                                      <w:jc w:val="center"/>
                                      <w:rPr>
                                        <w:b/>
                                        <w:color w:val="4A442A" w:themeColor="background2" w:themeShade="40"/>
                                      </w:rPr>
                                    </w:pPr>
                                    <w:r w:rsidRPr="0092036C">
                                      <w:rPr>
                                        <w:b/>
                                        <w:color w:val="4A442A" w:themeColor="background2" w:themeShade="40"/>
                                        <w:sz w:val="44"/>
                                        <w:szCs w:val="44"/>
                                        <w:lang w:val="en-US" w:eastAsia="ja-JP"/>
                                      </w:rPr>
                                      <w:t>Genomic Health</w:t>
                                    </w:r>
                                    <w:r>
                                      <w:rPr>
                                        <w:b/>
                                        <w:color w:val="4A442A" w:themeColor="background2" w:themeShade="40"/>
                                        <w:sz w:val="44"/>
                                        <w:szCs w:val="44"/>
                                        <w:lang w:val="en-US" w:eastAsia="ja-JP"/>
                                      </w:rPr>
                                      <w:t xml:space="preserve"> C</w:t>
                                    </w:r>
                                    <w:r w:rsidRPr="0092036C">
                                      <w:rPr>
                                        <w:b/>
                                        <w:color w:val="4A442A" w:themeColor="background2" w:themeShade="40"/>
                                        <w:sz w:val="44"/>
                                        <w:szCs w:val="44"/>
                                        <w:lang w:val="en-US" w:eastAsia="ja-JP"/>
                                      </w:rPr>
                                      <w:t>are for Victoria</w:t>
                                    </w:r>
                                  </w:p>
                                </w:sdtContent>
                              </w:sdt>
                              <w:p w:rsidR="003A6C69" w:rsidRDefault="00534122" w:rsidP="0092036C">
                                <w:pPr>
                                  <w:pStyle w:val="Title"/>
                                  <w:spacing w:before="720"/>
                                  <w:jc w:val="center"/>
                                  <w:rPr>
                                    <w:rFonts w:asciiTheme="minorHAnsi" w:eastAsiaTheme="minorHAnsi" w:hAnsiTheme="minorHAnsi" w:cstheme="minorBidi"/>
                                    <w:color w:val="4A442A" w:themeColor="background2" w:themeShade="40"/>
                                    <w:kern w:val="0"/>
                                    <w:sz w:val="44"/>
                                    <w:szCs w:val="44"/>
                                  </w:rPr>
                                </w:pPr>
                                <w:sdt>
                                  <w:sdtPr>
                                    <w:rPr>
                                      <w:b/>
                                      <w:caps/>
                                      <w:color w:val="595959" w:themeColor="text1" w:themeTint="A6"/>
                                      <w:sz w:val="26"/>
                                      <w:szCs w:val="20"/>
                                      <w:lang w:val="en-US" w:eastAsia="ja-JP"/>
                                    </w:rPr>
                                    <w:alias w:val="Subtitle"/>
                                    <w:tag w:val=""/>
                                    <w:id w:val="1472708987"/>
                                    <w:dataBinding w:prefixMappings="xmlns:ns0='http://purl.org/dc/elements/1.1/' xmlns:ns1='http://schemas.openxmlformats.org/package/2006/metadata/core-properties' " w:xpath="/ns1:coreProperties[1]/ns0:subject[1]" w:storeItemID="{6C3C8BC8-F283-45AE-878A-BAB7291924A1}"/>
                                    <w:text/>
                                  </w:sdtPr>
                                  <w:sdtEndPr/>
                                  <w:sdtContent>
                                    <w:r w:rsidR="003A6C69" w:rsidRPr="0092036C">
                                      <w:rPr>
                                        <w:b/>
                                        <w:caps/>
                                        <w:color w:val="595959" w:themeColor="text1" w:themeTint="A6"/>
                                        <w:sz w:val="26"/>
                                        <w:szCs w:val="20"/>
                                        <w:lang w:val="en-US" w:eastAsia="ja-JP"/>
                                      </w:rPr>
                                      <w:t>A DISCUSSION PAPER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id="Text Box 21" o:spid="_x0000_s1027" type="#_x0000_t202" style="position:absolute;margin-left:40.2pt;margin-top:580.2pt;width:457.5pt;height:76.15pt;z-index:251662336;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" o:allowoverlap="f" filled="f" stroked="f" strokeweight=".5pt">
                    <v:path arrowok="t"/>
                    <v:textbox inset="0,0,0,0">
                      <w:txbxContent>
                        <w:sdt>
                          <w:sdtPr>
                            <w:rPr>
                              <w:b/>
                              <w:color w:val="4A442A" w:themeColor="background2" w:themeShade="40"/>
                              <w:sz w:val="44"/>
                              <w:szCs w:val="44"/>
                              <w:lang w:val="en-US" w:eastAsia="ja-JP"/>
                            </w:rPr>
                            <w:alias w:val="Title"/>
                            <w:tag w:val=""/>
                            <w:id w:val="1589493848"/>
                            <w:dataBinding w:prefixMappings="xmlns:ns0='http://purl.org/dc/elements/1.1/' xmlns:ns1='http://schemas.openxmlformats.org/package/2006/metadata/core-properties' " w:xpath="/ns1:coreProperties[1]/ns0:title[1]" w:storeItemID="{6C3C8BC8-F283-45AE-878A-BAB7291924A1}"/>
                            <w:text/>
                          </w:sdtPr>
                          <w:sdtEndPr/>
                          <w:sdtContent>
                            <w:p w:rsidR="003A6C69" w:rsidRPr="0092036C" w:rsidRDefault="003A6C69" w:rsidP="00E867A4">
                              <w:pPr>
                                <w:pStyle w:val="Title"/>
                                <w:jc w:val="center"/>
                                <w:rPr>
                                  <w:b/>
                                  <w:color w:val="4A442A" w:themeColor="background2" w:themeShade="40"/>
                                </w:rPr>
                              </w:pPr>
                              <w:r w:rsidRPr="0092036C">
                                <w:rPr>
                                  <w:b/>
                                  <w:color w:val="4A442A" w:themeColor="background2" w:themeShade="40"/>
                                  <w:sz w:val="44"/>
                                  <w:szCs w:val="44"/>
                                  <w:lang w:val="en-US" w:eastAsia="ja-JP"/>
                                </w:rPr>
                                <w:t>Genomic Health</w:t>
                              </w:r>
                              <w:r>
                                <w:rPr>
                                  <w:b/>
                                  <w:color w:val="4A442A" w:themeColor="background2" w:themeShade="40"/>
                                  <w:sz w:val="44"/>
                                  <w:szCs w:val="44"/>
                                  <w:lang w:val="en-US" w:eastAsia="ja-JP"/>
                                </w:rPr>
                                <w:t xml:space="preserve"> C</w:t>
                              </w:r>
                              <w:r w:rsidRPr="0092036C">
                                <w:rPr>
                                  <w:b/>
                                  <w:color w:val="4A442A" w:themeColor="background2" w:themeShade="40"/>
                                  <w:sz w:val="44"/>
                                  <w:szCs w:val="44"/>
                                  <w:lang w:val="en-US" w:eastAsia="ja-JP"/>
                                </w:rPr>
                                <w:t>are for Victoria</w:t>
                              </w:r>
                            </w:p>
                          </w:sdtContent>
                        </w:sdt>
                        <w:p w:rsidR="003A6C69" w:rsidRDefault="00E111EE" w:rsidP="0092036C">
                          <w:pPr>
                            <w:pStyle w:val="Title"/>
                            <w:spacing w:before="720"/>
                            <w:jc w:val="center"/>
                            <w:rPr>
                              <w:rFonts w:asciiTheme="minorHAnsi" w:eastAsiaTheme="minorHAnsi" w:hAnsiTheme="minorHAnsi" w:cstheme="minorBidi"/>
                              <w:color w:val="4A442A" w:themeColor="background2" w:themeShade="40"/>
                              <w:kern w:val="0"/>
                              <w:sz w:val="44"/>
                              <w:szCs w:val="44"/>
                            </w:rPr>
                          </w:pPr>
                          <w:sdt>
                            <w:sdtPr>
                              <w:rPr>
                                <w:b/>
                                <w:caps/>
                                <w:color w:val="595959" w:themeColor="text1" w:themeTint="A6"/>
                                <w:sz w:val="26"/>
                                <w:szCs w:val="20"/>
                                <w:lang w:val="en-US" w:eastAsia="ja-JP"/>
                              </w:rPr>
                              <w:alias w:val="Subtitle"/>
                              <w:tag w:val=""/>
                              <w:id w:val="1472708987"/>
                              <w:dataBinding w:prefixMappings="xmlns:ns0='http://purl.org/dc/elements/1.1/' xmlns:ns1='http://schemas.openxmlformats.org/package/2006/metadata/core-properties' " w:xpath="/ns1:coreProperties[1]/ns0:subject[1]" w:storeItemID="{6C3C8BC8-F283-45AE-878A-BAB7291924A1}"/>
                              <w:text/>
                            </w:sdtPr>
                            <w:sdtEndPr/>
                            <w:sdtContent>
                              <w:r w:rsidR="003A6C69" w:rsidRPr="0092036C">
                                <w:rPr>
                                  <w:b/>
                                  <w:caps/>
                                  <w:color w:val="595959" w:themeColor="text1" w:themeTint="A6"/>
                                  <w:sz w:val="26"/>
                                  <w:szCs w:val="20"/>
                                  <w:lang w:val="en-US" w:eastAsia="ja-JP"/>
                                </w:rPr>
                                <w:t>A DISCUSSION PAPER</w:t>
                              </w:r>
                            </w:sdtContent>
                          </w:sdt>
                        </w:p>
                      </w:txbxContent>
                    </v:textbox>
                    <w10:wrap type="square" anchorx="margin" anchory="margin"/>
                  </v:shape>
                </w:pict>
              </mc:Fallback>
            </mc:AlternateContent>
          </w:r>
          <w:r w:rsidR="00823C89">
            <w:rPr>
              <w:noProof/>
              <w:lang w:eastAsia="en-AU"/>
            </w:rPr>
            <w:drawing>
              <wp:anchor distT="0" distB="0" distL="114300" distR="114300" simplePos="0" relativeHeight="251659264" behindDoc="1" locked="0" layoutInCell="1" allowOverlap="0" wp14:anchorId="5B1C1F72" wp14:editId="60EF2E21">
                <wp:simplePos x="0" y="0"/>
                <wp:positionH relativeFrom="margin">
                  <wp:posOffset>16510</wp:posOffset>
                </wp:positionH>
                <wp:positionV relativeFrom="margin">
                  <wp:posOffset>1651635</wp:posOffset>
                </wp:positionV>
                <wp:extent cx="6508750" cy="4340225"/>
                <wp:effectExtent l="265112" t="249238" r="328613" b="290512"/>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5400000">
                          <a:off x="0" y="0"/>
                          <a:ext cx="6508750" cy="4340225"/>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anchor>
            </w:drawing>
          </w:r>
          <w:r w:rsidR="00E867A4">
            <w:br w:type="page"/>
          </w:r>
        </w:p>
      </w:sdtContent>
    </w:sdt>
    <w:bookmarkEnd w:id="5"/>
    <w:bookmarkEnd w:id="4"/>
    <w:bookmarkEnd w:id="3"/>
    <w:bookmarkEnd w:id="2"/>
    <w:bookmarkEnd w:id="1"/>
    <w:p w:rsidR="00E867A4" w:rsidRDefault="00E867A4" w:rsidP="00E867A4">
      <w:pPr>
        <w:spacing w:line="300" w:lineRule="atLeast"/>
        <w:rPr>
          <w:rFonts w:ascii="Arial" w:eastAsia="Times" w:hAnsi="Arial"/>
          <w:szCs w:val="19"/>
        </w:rPr>
      </w:pPr>
    </w:p>
    <w:sdt>
      <w:sdtPr>
        <w:rPr>
          <w:rFonts w:asciiTheme="minorHAnsi" w:eastAsiaTheme="minorHAnsi" w:hAnsiTheme="minorHAnsi" w:cstheme="minorBidi"/>
          <w:b w:val="0"/>
          <w:bCs w:val="0"/>
          <w:color w:val="auto"/>
          <w:sz w:val="22"/>
          <w:szCs w:val="22"/>
          <w:lang w:val="en-AU" w:eastAsia="en-US"/>
        </w:rPr>
        <w:id w:val="475492849"/>
        <w:docPartObj>
          <w:docPartGallery w:val="Table of Contents"/>
          <w:docPartUnique/>
        </w:docPartObj>
      </w:sdtPr>
      <w:sdtEndPr>
        <w:rPr>
          <w:noProof/>
        </w:rPr>
      </w:sdtEndPr>
      <w:sdtContent>
        <w:p w:rsidR="003F74C6" w:rsidRDefault="003F74C6">
          <w:pPr>
            <w:pStyle w:val="TOCHeading"/>
          </w:pPr>
          <w:r>
            <w:t>Contents</w:t>
          </w:r>
        </w:p>
        <w:p w:rsidR="003E7EAB" w:rsidRDefault="008F4F64">
          <w:pPr>
            <w:pStyle w:val="TOC1"/>
            <w:tabs>
              <w:tab w:val="right" w:leader="dot" w:pos="9628"/>
            </w:tabs>
            <w:rPr>
              <w:rFonts w:eastAsiaTheme="minorEastAsia"/>
              <w:noProof/>
              <w:lang w:eastAsia="en-AU"/>
            </w:rPr>
          </w:pPr>
          <w:r>
            <w:fldChar w:fldCharType="begin"/>
          </w:r>
          <w:r w:rsidR="003F74C6">
            <w:instrText xml:space="preserve"> TOC \o "1-3" \h \z \u </w:instrText>
          </w:r>
          <w:r>
            <w:fldChar w:fldCharType="separate"/>
          </w:r>
          <w:hyperlink w:anchor="_Toc458511930" w:history="1">
            <w:r w:rsidR="003E7EAB" w:rsidRPr="006069A0">
              <w:rPr>
                <w:rStyle w:val="Hyperlink"/>
                <w:noProof/>
              </w:rPr>
              <w:t>Introduction</w:t>
            </w:r>
            <w:r w:rsidR="003E7EAB">
              <w:rPr>
                <w:noProof/>
                <w:webHidden/>
              </w:rPr>
              <w:tab/>
            </w:r>
            <w:r w:rsidR="003E7EAB">
              <w:rPr>
                <w:noProof/>
                <w:webHidden/>
              </w:rPr>
              <w:fldChar w:fldCharType="begin"/>
            </w:r>
            <w:r w:rsidR="003E7EAB">
              <w:rPr>
                <w:noProof/>
                <w:webHidden/>
              </w:rPr>
              <w:instrText xml:space="preserve"> PAGEREF _Toc458511930 \h </w:instrText>
            </w:r>
            <w:r w:rsidR="003E7EAB">
              <w:rPr>
                <w:noProof/>
                <w:webHidden/>
              </w:rPr>
            </w:r>
            <w:r w:rsidR="003E7EAB">
              <w:rPr>
                <w:noProof/>
                <w:webHidden/>
              </w:rPr>
              <w:fldChar w:fldCharType="separate"/>
            </w:r>
            <w:r w:rsidR="00E4609D">
              <w:rPr>
                <w:noProof/>
                <w:webHidden/>
              </w:rPr>
              <w:t>2</w:t>
            </w:r>
            <w:r w:rsidR="003E7EAB">
              <w:rPr>
                <w:noProof/>
                <w:webHidden/>
              </w:rPr>
              <w:fldChar w:fldCharType="end"/>
            </w:r>
          </w:hyperlink>
        </w:p>
        <w:p w:rsidR="003E7EAB" w:rsidRDefault="00534122">
          <w:pPr>
            <w:pStyle w:val="TOC2"/>
            <w:tabs>
              <w:tab w:val="right" w:leader="dot" w:pos="9628"/>
            </w:tabs>
            <w:rPr>
              <w:rFonts w:eastAsiaTheme="minorEastAsia"/>
              <w:noProof/>
              <w:lang w:eastAsia="en-AU"/>
            </w:rPr>
          </w:pPr>
          <w:hyperlink w:anchor="_Toc458511931" w:history="1">
            <w:r w:rsidR="003E7EAB" w:rsidRPr="006069A0">
              <w:rPr>
                <w:rStyle w:val="Hyperlink"/>
                <w:noProof/>
                <w:shd w:val="clear" w:color="auto" w:fill="FFFFFF"/>
              </w:rPr>
              <w:t>Document purpose</w:t>
            </w:r>
            <w:r w:rsidR="003E7EAB">
              <w:rPr>
                <w:noProof/>
                <w:webHidden/>
              </w:rPr>
              <w:tab/>
            </w:r>
            <w:r w:rsidR="003E7EAB">
              <w:rPr>
                <w:noProof/>
                <w:webHidden/>
              </w:rPr>
              <w:fldChar w:fldCharType="begin"/>
            </w:r>
            <w:r w:rsidR="003E7EAB">
              <w:rPr>
                <w:noProof/>
                <w:webHidden/>
              </w:rPr>
              <w:instrText xml:space="preserve"> PAGEREF _Toc458511931 \h </w:instrText>
            </w:r>
            <w:r w:rsidR="003E7EAB">
              <w:rPr>
                <w:noProof/>
                <w:webHidden/>
              </w:rPr>
            </w:r>
            <w:r w:rsidR="003E7EAB">
              <w:rPr>
                <w:noProof/>
                <w:webHidden/>
              </w:rPr>
              <w:fldChar w:fldCharType="separate"/>
            </w:r>
            <w:r w:rsidR="00E4609D">
              <w:rPr>
                <w:noProof/>
                <w:webHidden/>
              </w:rPr>
              <w:t>2</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32" w:history="1">
            <w:r w:rsidR="003E7EAB" w:rsidRPr="006069A0">
              <w:rPr>
                <w:rStyle w:val="Hyperlink"/>
                <w:noProof/>
              </w:rPr>
              <w:t>Background</w:t>
            </w:r>
            <w:r w:rsidR="003E7EAB">
              <w:rPr>
                <w:noProof/>
                <w:webHidden/>
              </w:rPr>
              <w:tab/>
            </w:r>
            <w:r w:rsidR="003E7EAB">
              <w:rPr>
                <w:noProof/>
                <w:webHidden/>
              </w:rPr>
              <w:fldChar w:fldCharType="begin"/>
            </w:r>
            <w:r w:rsidR="003E7EAB">
              <w:rPr>
                <w:noProof/>
                <w:webHidden/>
              </w:rPr>
              <w:instrText xml:space="preserve"> PAGEREF _Toc458511932 \h </w:instrText>
            </w:r>
            <w:r w:rsidR="003E7EAB">
              <w:rPr>
                <w:noProof/>
                <w:webHidden/>
              </w:rPr>
            </w:r>
            <w:r w:rsidR="003E7EAB">
              <w:rPr>
                <w:noProof/>
                <w:webHidden/>
              </w:rPr>
              <w:fldChar w:fldCharType="separate"/>
            </w:r>
            <w:r w:rsidR="00E4609D">
              <w:rPr>
                <w:noProof/>
                <w:webHidden/>
              </w:rPr>
              <w:t>3</w:t>
            </w:r>
            <w:r w:rsidR="003E7EAB">
              <w:rPr>
                <w:noProof/>
                <w:webHidden/>
              </w:rPr>
              <w:fldChar w:fldCharType="end"/>
            </w:r>
          </w:hyperlink>
        </w:p>
        <w:p w:rsidR="003E7EAB" w:rsidRDefault="00534122">
          <w:pPr>
            <w:pStyle w:val="TOC2"/>
            <w:tabs>
              <w:tab w:val="right" w:leader="dot" w:pos="9628"/>
            </w:tabs>
            <w:rPr>
              <w:rFonts w:eastAsiaTheme="minorEastAsia"/>
              <w:noProof/>
              <w:lang w:eastAsia="en-AU"/>
            </w:rPr>
          </w:pPr>
          <w:hyperlink w:anchor="_Toc458511933" w:history="1">
            <w:r w:rsidR="003E7EAB" w:rsidRPr="006069A0">
              <w:rPr>
                <w:rStyle w:val="Hyperlink"/>
                <w:noProof/>
                <w:shd w:val="clear" w:color="auto" w:fill="FFFFFF"/>
              </w:rPr>
              <w:t>Human genetic services</w:t>
            </w:r>
            <w:r w:rsidR="003E7EAB">
              <w:rPr>
                <w:noProof/>
                <w:webHidden/>
              </w:rPr>
              <w:tab/>
            </w:r>
            <w:r w:rsidR="003E7EAB">
              <w:rPr>
                <w:noProof/>
                <w:webHidden/>
              </w:rPr>
              <w:fldChar w:fldCharType="begin"/>
            </w:r>
            <w:r w:rsidR="003E7EAB">
              <w:rPr>
                <w:noProof/>
                <w:webHidden/>
              </w:rPr>
              <w:instrText xml:space="preserve"> PAGEREF _Toc458511933 \h </w:instrText>
            </w:r>
            <w:r w:rsidR="003E7EAB">
              <w:rPr>
                <w:noProof/>
                <w:webHidden/>
              </w:rPr>
            </w:r>
            <w:r w:rsidR="003E7EAB">
              <w:rPr>
                <w:noProof/>
                <w:webHidden/>
              </w:rPr>
              <w:fldChar w:fldCharType="separate"/>
            </w:r>
            <w:r w:rsidR="00E4609D">
              <w:rPr>
                <w:noProof/>
                <w:webHidden/>
              </w:rPr>
              <w:t>3</w:t>
            </w:r>
            <w:r w:rsidR="003E7EAB">
              <w:rPr>
                <w:noProof/>
                <w:webHidden/>
              </w:rPr>
              <w:fldChar w:fldCharType="end"/>
            </w:r>
          </w:hyperlink>
        </w:p>
        <w:p w:rsidR="003E7EAB" w:rsidRDefault="00534122">
          <w:pPr>
            <w:pStyle w:val="TOC2"/>
            <w:tabs>
              <w:tab w:val="right" w:leader="dot" w:pos="9628"/>
            </w:tabs>
            <w:rPr>
              <w:rFonts w:eastAsiaTheme="minorEastAsia"/>
              <w:noProof/>
              <w:lang w:eastAsia="en-AU"/>
            </w:rPr>
          </w:pPr>
          <w:hyperlink w:anchor="_Toc458511934" w:history="1">
            <w:r w:rsidR="003E7EAB" w:rsidRPr="006069A0">
              <w:rPr>
                <w:rStyle w:val="Hyperlink"/>
                <w:noProof/>
                <w:shd w:val="clear" w:color="auto" w:fill="FFFFFF"/>
              </w:rPr>
              <w:t>Microbial diagnostic  services</w:t>
            </w:r>
            <w:r w:rsidR="003E7EAB">
              <w:rPr>
                <w:noProof/>
                <w:webHidden/>
              </w:rPr>
              <w:tab/>
            </w:r>
            <w:r w:rsidR="003E7EAB">
              <w:rPr>
                <w:noProof/>
                <w:webHidden/>
              </w:rPr>
              <w:fldChar w:fldCharType="begin"/>
            </w:r>
            <w:r w:rsidR="003E7EAB">
              <w:rPr>
                <w:noProof/>
                <w:webHidden/>
              </w:rPr>
              <w:instrText xml:space="preserve"> PAGEREF _Toc458511934 \h </w:instrText>
            </w:r>
            <w:r w:rsidR="003E7EAB">
              <w:rPr>
                <w:noProof/>
                <w:webHidden/>
              </w:rPr>
            </w:r>
            <w:r w:rsidR="003E7EAB">
              <w:rPr>
                <w:noProof/>
                <w:webHidden/>
              </w:rPr>
              <w:fldChar w:fldCharType="separate"/>
            </w:r>
            <w:r w:rsidR="00E4609D">
              <w:rPr>
                <w:noProof/>
                <w:webHidden/>
              </w:rPr>
              <w:t>3</w:t>
            </w:r>
            <w:r w:rsidR="003E7EAB">
              <w:rPr>
                <w:noProof/>
                <w:webHidden/>
              </w:rPr>
              <w:fldChar w:fldCharType="end"/>
            </w:r>
          </w:hyperlink>
        </w:p>
        <w:p w:rsidR="003E7EAB" w:rsidRDefault="00534122">
          <w:pPr>
            <w:pStyle w:val="TOC2"/>
            <w:tabs>
              <w:tab w:val="right" w:leader="dot" w:pos="9628"/>
            </w:tabs>
            <w:rPr>
              <w:rFonts w:eastAsiaTheme="minorEastAsia"/>
              <w:noProof/>
              <w:lang w:eastAsia="en-AU"/>
            </w:rPr>
          </w:pPr>
          <w:hyperlink w:anchor="_Toc458511935" w:history="1">
            <w:r w:rsidR="003E7EAB" w:rsidRPr="006069A0">
              <w:rPr>
                <w:rStyle w:val="Hyperlink"/>
                <w:noProof/>
                <w:shd w:val="clear" w:color="auto" w:fill="FFFFFF"/>
              </w:rPr>
              <w:t>Genomic sequencing</w:t>
            </w:r>
            <w:r w:rsidR="003E7EAB">
              <w:rPr>
                <w:noProof/>
                <w:webHidden/>
              </w:rPr>
              <w:tab/>
            </w:r>
            <w:r w:rsidR="003E7EAB">
              <w:rPr>
                <w:noProof/>
                <w:webHidden/>
              </w:rPr>
              <w:fldChar w:fldCharType="begin"/>
            </w:r>
            <w:r w:rsidR="003E7EAB">
              <w:rPr>
                <w:noProof/>
                <w:webHidden/>
              </w:rPr>
              <w:instrText xml:space="preserve"> PAGEREF _Toc458511935 \h </w:instrText>
            </w:r>
            <w:r w:rsidR="003E7EAB">
              <w:rPr>
                <w:noProof/>
                <w:webHidden/>
              </w:rPr>
            </w:r>
            <w:r w:rsidR="003E7EAB">
              <w:rPr>
                <w:noProof/>
                <w:webHidden/>
              </w:rPr>
              <w:fldChar w:fldCharType="separate"/>
            </w:r>
            <w:r w:rsidR="00E4609D">
              <w:rPr>
                <w:noProof/>
                <w:webHidden/>
              </w:rPr>
              <w:t>4</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36" w:history="1">
            <w:r w:rsidR="003E7EAB" w:rsidRPr="006069A0">
              <w:rPr>
                <w:rStyle w:val="Hyperlink"/>
                <w:noProof/>
              </w:rPr>
              <w:t>Development of a new strategy</w:t>
            </w:r>
            <w:r w:rsidR="003E7EAB">
              <w:rPr>
                <w:noProof/>
                <w:webHidden/>
              </w:rPr>
              <w:tab/>
            </w:r>
            <w:r w:rsidR="003E7EAB">
              <w:rPr>
                <w:noProof/>
                <w:webHidden/>
              </w:rPr>
              <w:fldChar w:fldCharType="begin"/>
            </w:r>
            <w:r w:rsidR="003E7EAB">
              <w:rPr>
                <w:noProof/>
                <w:webHidden/>
              </w:rPr>
              <w:instrText xml:space="preserve"> PAGEREF _Toc458511936 \h </w:instrText>
            </w:r>
            <w:r w:rsidR="003E7EAB">
              <w:rPr>
                <w:noProof/>
                <w:webHidden/>
              </w:rPr>
            </w:r>
            <w:r w:rsidR="003E7EAB">
              <w:rPr>
                <w:noProof/>
                <w:webHidden/>
              </w:rPr>
              <w:fldChar w:fldCharType="separate"/>
            </w:r>
            <w:r w:rsidR="00E4609D">
              <w:rPr>
                <w:noProof/>
                <w:webHidden/>
              </w:rPr>
              <w:t>5</w:t>
            </w:r>
            <w:r w:rsidR="003E7EAB">
              <w:rPr>
                <w:noProof/>
                <w:webHidden/>
              </w:rPr>
              <w:fldChar w:fldCharType="end"/>
            </w:r>
          </w:hyperlink>
        </w:p>
        <w:p w:rsidR="003E7EAB" w:rsidRDefault="00534122">
          <w:pPr>
            <w:pStyle w:val="TOC2"/>
            <w:tabs>
              <w:tab w:val="right" w:leader="dot" w:pos="9628"/>
            </w:tabs>
            <w:rPr>
              <w:rFonts w:eastAsiaTheme="minorEastAsia"/>
              <w:noProof/>
              <w:lang w:eastAsia="en-AU"/>
            </w:rPr>
          </w:pPr>
          <w:hyperlink w:anchor="_Toc458511937" w:history="1">
            <w:r w:rsidR="003E7EAB" w:rsidRPr="006069A0">
              <w:rPr>
                <w:rStyle w:val="Hyperlink"/>
                <w:noProof/>
              </w:rPr>
              <w:t>Summary of key findings from 2015 workshop</w:t>
            </w:r>
            <w:r w:rsidR="003E7EAB">
              <w:rPr>
                <w:noProof/>
                <w:webHidden/>
              </w:rPr>
              <w:tab/>
            </w:r>
            <w:r w:rsidR="003E7EAB">
              <w:rPr>
                <w:noProof/>
                <w:webHidden/>
              </w:rPr>
              <w:fldChar w:fldCharType="begin"/>
            </w:r>
            <w:r w:rsidR="003E7EAB">
              <w:rPr>
                <w:noProof/>
                <w:webHidden/>
              </w:rPr>
              <w:instrText xml:space="preserve"> PAGEREF _Toc458511937 \h </w:instrText>
            </w:r>
            <w:r w:rsidR="003E7EAB">
              <w:rPr>
                <w:noProof/>
                <w:webHidden/>
              </w:rPr>
            </w:r>
            <w:r w:rsidR="003E7EAB">
              <w:rPr>
                <w:noProof/>
                <w:webHidden/>
              </w:rPr>
              <w:fldChar w:fldCharType="separate"/>
            </w:r>
            <w:r w:rsidR="00E4609D">
              <w:rPr>
                <w:noProof/>
                <w:webHidden/>
              </w:rPr>
              <w:t>5</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38" w:history="1">
            <w:r w:rsidR="003E7EAB" w:rsidRPr="006069A0">
              <w:rPr>
                <w:rStyle w:val="Hyperlink"/>
                <w:noProof/>
              </w:rPr>
              <w:t>Key factors</w:t>
            </w:r>
            <w:r w:rsidR="003E7EAB">
              <w:rPr>
                <w:noProof/>
                <w:webHidden/>
              </w:rPr>
              <w:tab/>
            </w:r>
            <w:r w:rsidR="003E7EAB">
              <w:rPr>
                <w:noProof/>
                <w:webHidden/>
              </w:rPr>
              <w:fldChar w:fldCharType="begin"/>
            </w:r>
            <w:r w:rsidR="003E7EAB">
              <w:rPr>
                <w:noProof/>
                <w:webHidden/>
              </w:rPr>
              <w:instrText xml:space="preserve"> PAGEREF _Toc458511938 \h </w:instrText>
            </w:r>
            <w:r w:rsidR="003E7EAB">
              <w:rPr>
                <w:noProof/>
                <w:webHidden/>
              </w:rPr>
            </w:r>
            <w:r w:rsidR="003E7EAB">
              <w:rPr>
                <w:noProof/>
                <w:webHidden/>
              </w:rPr>
              <w:fldChar w:fldCharType="separate"/>
            </w:r>
            <w:r w:rsidR="00E4609D">
              <w:rPr>
                <w:noProof/>
                <w:webHidden/>
              </w:rPr>
              <w:t>6</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39" w:history="1">
            <w:r w:rsidR="003E7EAB" w:rsidRPr="006069A0">
              <w:rPr>
                <w:rStyle w:val="Hyperlink"/>
                <w:noProof/>
              </w:rPr>
              <w:t>A new strategy for Victoria</w:t>
            </w:r>
            <w:r w:rsidR="003E7EAB">
              <w:rPr>
                <w:noProof/>
                <w:webHidden/>
              </w:rPr>
              <w:tab/>
            </w:r>
            <w:r w:rsidR="003E7EAB">
              <w:rPr>
                <w:noProof/>
                <w:webHidden/>
              </w:rPr>
              <w:fldChar w:fldCharType="begin"/>
            </w:r>
            <w:r w:rsidR="003E7EAB">
              <w:rPr>
                <w:noProof/>
                <w:webHidden/>
              </w:rPr>
              <w:instrText xml:space="preserve"> PAGEREF _Toc458511939 \h </w:instrText>
            </w:r>
            <w:r w:rsidR="003E7EAB">
              <w:rPr>
                <w:noProof/>
                <w:webHidden/>
              </w:rPr>
            </w:r>
            <w:r w:rsidR="003E7EAB">
              <w:rPr>
                <w:noProof/>
                <w:webHidden/>
              </w:rPr>
              <w:fldChar w:fldCharType="separate"/>
            </w:r>
            <w:r w:rsidR="00E4609D">
              <w:rPr>
                <w:noProof/>
                <w:webHidden/>
              </w:rPr>
              <w:t>7</w:t>
            </w:r>
            <w:r w:rsidR="003E7EAB">
              <w:rPr>
                <w:noProof/>
                <w:webHidden/>
              </w:rPr>
              <w:fldChar w:fldCharType="end"/>
            </w:r>
          </w:hyperlink>
        </w:p>
        <w:p w:rsidR="003E7EAB" w:rsidRDefault="00534122">
          <w:pPr>
            <w:pStyle w:val="TOC2"/>
            <w:tabs>
              <w:tab w:val="right" w:leader="dot" w:pos="9628"/>
            </w:tabs>
            <w:rPr>
              <w:rFonts w:eastAsiaTheme="minorEastAsia"/>
              <w:noProof/>
              <w:lang w:eastAsia="en-AU"/>
            </w:rPr>
          </w:pPr>
          <w:hyperlink w:anchor="_Toc458511940" w:history="1">
            <w:r w:rsidR="003E7EAB" w:rsidRPr="006069A0">
              <w:rPr>
                <w:rStyle w:val="Hyperlink"/>
                <w:noProof/>
              </w:rPr>
              <w:t>Vision</w:t>
            </w:r>
            <w:r w:rsidR="003E7EAB">
              <w:rPr>
                <w:noProof/>
                <w:webHidden/>
              </w:rPr>
              <w:tab/>
            </w:r>
            <w:r w:rsidR="003E7EAB">
              <w:rPr>
                <w:noProof/>
                <w:webHidden/>
              </w:rPr>
              <w:fldChar w:fldCharType="begin"/>
            </w:r>
            <w:r w:rsidR="003E7EAB">
              <w:rPr>
                <w:noProof/>
                <w:webHidden/>
              </w:rPr>
              <w:instrText xml:space="preserve"> PAGEREF _Toc458511940 \h </w:instrText>
            </w:r>
            <w:r w:rsidR="003E7EAB">
              <w:rPr>
                <w:noProof/>
                <w:webHidden/>
              </w:rPr>
            </w:r>
            <w:r w:rsidR="003E7EAB">
              <w:rPr>
                <w:noProof/>
                <w:webHidden/>
              </w:rPr>
              <w:fldChar w:fldCharType="separate"/>
            </w:r>
            <w:r w:rsidR="00E4609D">
              <w:rPr>
                <w:noProof/>
                <w:webHidden/>
              </w:rPr>
              <w:t>7</w:t>
            </w:r>
            <w:r w:rsidR="003E7EAB">
              <w:rPr>
                <w:noProof/>
                <w:webHidden/>
              </w:rPr>
              <w:fldChar w:fldCharType="end"/>
            </w:r>
          </w:hyperlink>
        </w:p>
        <w:p w:rsidR="003E7EAB" w:rsidRDefault="00534122">
          <w:pPr>
            <w:pStyle w:val="TOC2"/>
            <w:tabs>
              <w:tab w:val="right" w:leader="dot" w:pos="9628"/>
            </w:tabs>
            <w:rPr>
              <w:rFonts w:eastAsiaTheme="minorEastAsia"/>
              <w:noProof/>
              <w:lang w:eastAsia="en-AU"/>
            </w:rPr>
          </w:pPr>
          <w:hyperlink w:anchor="_Toc458511941" w:history="1">
            <w:r w:rsidR="003E7EAB" w:rsidRPr="006069A0">
              <w:rPr>
                <w:rStyle w:val="Hyperlink"/>
                <w:noProof/>
              </w:rPr>
              <w:t>Mission</w:t>
            </w:r>
            <w:r w:rsidR="003E7EAB">
              <w:rPr>
                <w:noProof/>
                <w:webHidden/>
              </w:rPr>
              <w:tab/>
            </w:r>
            <w:r w:rsidR="003E7EAB">
              <w:rPr>
                <w:noProof/>
                <w:webHidden/>
              </w:rPr>
              <w:fldChar w:fldCharType="begin"/>
            </w:r>
            <w:r w:rsidR="003E7EAB">
              <w:rPr>
                <w:noProof/>
                <w:webHidden/>
              </w:rPr>
              <w:instrText xml:space="preserve"> PAGEREF _Toc458511941 \h </w:instrText>
            </w:r>
            <w:r w:rsidR="003E7EAB">
              <w:rPr>
                <w:noProof/>
                <w:webHidden/>
              </w:rPr>
            </w:r>
            <w:r w:rsidR="003E7EAB">
              <w:rPr>
                <w:noProof/>
                <w:webHidden/>
              </w:rPr>
              <w:fldChar w:fldCharType="separate"/>
            </w:r>
            <w:r w:rsidR="00E4609D">
              <w:rPr>
                <w:noProof/>
                <w:webHidden/>
              </w:rPr>
              <w:t>7</w:t>
            </w:r>
            <w:r w:rsidR="003E7EAB">
              <w:rPr>
                <w:noProof/>
                <w:webHidden/>
              </w:rPr>
              <w:fldChar w:fldCharType="end"/>
            </w:r>
          </w:hyperlink>
        </w:p>
        <w:p w:rsidR="003E7EAB" w:rsidRDefault="00534122">
          <w:pPr>
            <w:pStyle w:val="TOC2"/>
            <w:tabs>
              <w:tab w:val="right" w:leader="dot" w:pos="9628"/>
            </w:tabs>
            <w:rPr>
              <w:rFonts w:eastAsiaTheme="minorEastAsia"/>
              <w:noProof/>
              <w:lang w:eastAsia="en-AU"/>
            </w:rPr>
          </w:pPr>
          <w:hyperlink w:anchor="_Toc458511942" w:history="1">
            <w:r w:rsidR="003E7EAB" w:rsidRPr="006069A0">
              <w:rPr>
                <w:rStyle w:val="Hyperlink"/>
                <w:noProof/>
              </w:rPr>
              <w:t>Objectives</w:t>
            </w:r>
            <w:r w:rsidR="003E7EAB">
              <w:rPr>
                <w:noProof/>
                <w:webHidden/>
              </w:rPr>
              <w:tab/>
            </w:r>
            <w:r w:rsidR="003E7EAB">
              <w:rPr>
                <w:noProof/>
                <w:webHidden/>
              </w:rPr>
              <w:fldChar w:fldCharType="begin"/>
            </w:r>
            <w:r w:rsidR="003E7EAB">
              <w:rPr>
                <w:noProof/>
                <w:webHidden/>
              </w:rPr>
              <w:instrText xml:space="preserve"> PAGEREF _Toc458511942 \h </w:instrText>
            </w:r>
            <w:r w:rsidR="003E7EAB">
              <w:rPr>
                <w:noProof/>
                <w:webHidden/>
              </w:rPr>
            </w:r>
            <w:r w:rsidR="003E7EAB">
              <w:rPr>
                <w:noProof/>
                <w:webHidden/>
              </w:rPr>
              <w:fldChar w:fldCharType="separate"/>
            </w:r>
            <w:r w:rsidR="00E4609D">
              <w:rPr>
                <w:noProof/>
                <w:webHidden/>
              </w:rPr>
              <w:t>7</w:t>
            </w:r>
            <w:r w:rsidR="003E7EAB">
              <w:rPr>
                <w:noProof/>
                <w:webHidden/>
              </w:rPr>
              <w:fldChar w:fldCharType="end"/>
            </w:r>
          </w:hyperlink>
        </w:p>
        <w:p w:rsidR="003E7EAB" w:rsidRDefault="00534122">
          <w:pPr>
            <w:pStyle w:val="TOC2"/>
            <w:tabs>
              <w:tab w:val="right" w:leader="dot" w:pos="9628"/>
            </w:tabs>
            <w:rPr>
              <w:rFonts w:eastAsiaTheme="minorEastAsia"/>
              <w:noProof/>
              <w:lang w:eastAsia="en-AU"/>
            </w:rPr>
          </w:pPr>
          <w:hyperlink w:anchor="_Toc458511943" w:history="1">
            <w:r w:rsidR="003E7EAB" w:rsidRPr="006069A0">
              <w:rPr>
                <w:rStyle w:val="Hyperlink"/>
                <w:noProof/>
              </w:rPr>
              <w:t>Principles</w:t>
            </w:r>
            <w:r w:rsidR="003E7EAB">
              <w:rPr>
                <w:noProof/>
                <w:webHidden/>
              </w:rPr>
              <w:tab/>
            </w:r>
            <w:r w:rsidR="003E7EAB">
              <w:rPr>
                <w:noProof/>
                <w:webHidden/>
              </w:rPr>
              <w:fldChar w:fldCharType="begin"/>
            </w:r>
            <w:r w:rsidR="003E7EAB">
              <w:rPr>
                <w:noProof/>
                <w:webHidden/>
              </w:rPr>
              <w:instrText xml:space="preserve"> PAGEREF _Toc458511943 \h </w:instrText>
            </w:r>
            <w:r w:rsidR="003E7EAB">
              <w:rPr>
                <w:noProof/>
                <w:webHidden/>
              </w:rPr>
            </w:r>
            <w:r w:rsidR="003E7EAB">
              <w:rPr>
                <w:noProof/>
                <w:webHidden/>
              </w:rPr>
              <w:fldChar w:fldCharType="separate"/>
            </w:r>
            <w:r w:rsidR="00E4609D">
              <w:rPr>
                <w:noProof/>
                <w:webHidden/>
              </w:rPr>
              <w:t>7</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45" w:history="1">
            <w:r w:rsidR="003E7EAB" w:rsidRPr="006069A0">
              <w:rPr>
                <w:rStyle w:val="Hyperlink"/>
                <w:noProof/>
              </w:rPr>
              <w:t>Action areas</w:t>
            </w:r>
            <w:r w:rsidR="003E7EAB">
              <w:rPr>
                <w:noProof/>
                <w:webHidden/>
              </w:rPr>
              <w:tab/>
            </w:r>
            <w:r w:rsidR="003E7EAB">
              <w:rPr>
                <w:noProof/>
                <w:webHidden/>
              </w:rPr>
              <w:fldChar w:fldCharType="begin"/>
            </w:r>
            <w:r w:rsidR="003E7EAB">
              <w:rPr>
                <w:noProof/>
                <w:webHidden/>
              </w:rPr>
              <w:instrText xml:space="preserve"> PAGEREF _Toc458511945 \h </w:instrText>
            </w:r>
            <w:r w:rsidR="003E7EAB">
              <w:rPr>
                <w:noProof/>
                <w:webHidden/>
              </w:rPr>
            </w:r>
            <w:r w:rsidR="003E7EAB">
              <w:rPr>
                <w:noProof/>
                <w:webHidden/>
              </w:rPr>
              <w:fldChar w:fldCharType="separate"/>
            </w:r>
            <w:r w:rsidR="00E4609D">
              <w:rPr>
                <w:noProof/>
                <w:webHidden/>
              </w:rPr>
              <w:t>9</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46" w:history="1">
            <w:r w:rsidR="003E7EAB" w:rsidRPr="006069A0">
              <w:rPr>
                <w:rStyle w:val="Hyperlink"/>
                <w:noProof/>
              </w:rPr>
              <w:t>Engaging and building awareness</w:t>
            </w:r>
            <w:r w:rsidR="003E7EAB">
              <w:rPr>
                <w:noProof/>
                <w:webHidden/>
              </w:rPr>
              <w:tab/>
            </w:r>
            <w:r w:rsidR="003E7EAB">
              <w:rPr>
                <w:noProof/>
                <w:webHidden/>
              </w:rPr>
              <w:fldChar w:fldCharType="begin"/>
            </w:r>
            <w:r w:rsidR="003E7EAB">
              <w:rPr>
                <w:noProof/>
                <w:webHidden/>
              </w:rPr>
              <w:instrText xml:space="preserve"> PAGEREF _Toc458511946 \h </w:instrText>
            </w:r>
            <w:r w:rsidR="003E7EAB">
              <w:rPr>
                <w:noProof/>
                <w:webHidden/>
              </w:rPr>
            </w:r>
            <w:r w:rsidR="003E7EAB">
              <w:rPr>
                <w:noProof/>
                <w:webHidden/>
              </w:rPr>
              <w:fldChar w:fldCharType="separate"/>
            </w:r>
            <w:r w:rsidR="00E4609D">
              <w:rPr>
                <w:noProof/>
                <w:webHidden/>
              </w:rPr>
              <w:t>10</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47" w:history="1">
            <w:r w:rsidR="003E7EAB" w:rsidRPr="006069A0">
              <w:rPr>
                <w:rStyle w:val="Hyperlink"/>
                <w:noProof/>
              </w:rPr>
              <w:t>Clarifying the ethical and legal framework</w:t>
            </w:r>
            <w:r w:rsidR="003E7EAB">
              <w:rPr>
                <w:noProof/>
                <w:webHidden/>
              </w:rPr>
              <w:tab/>
            </w:r>
            <w:r w:rsidR="003E7EAB">
              <w:rPr>
                <w:noProof/>
                <w:webHidden/>
              </w:rPr>
              <w:fldChar w:fldCharType="begin"/>
            </w:r>
            <w:r w:rsidR="003E7EAB">
              <w:rPr>
                <w:noProof/>
                <w:webHidden/>
              </w:rPr>
              <w:instrText xml:space="preserve"> PAGEREF _Toc458511947 \h </w:instrText>
            </w:r>
            <w:r w:rsidR="003E7EAB">
              <w:rPr>
                <w:noProof/>
                <w:webHidden/>
              </w:rPr>
            </w:r>
            <w:r w:rsidR="003E7EAB">
              <w:rPr>
                <w:noProof/>
                <w:webHidden/>
              </w:rPr>
              <w:fldChar w:fldCharType="separate"/>
            </w:r>
            <w:r w:rsidR="00E4609D">
              <w:rPr>
                <w:noProof/>
                <w:webHidden/>
              </w:rPr>
              <w:t>11</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48" w:history="1">
            <w:r w:rsidR="003E7EAB" w:rsidRPr="006069A0">
              <w:rPr>
                <w:rStyle w:val="Hyperlink"/>
                <w:noProof/>
              </w:rPr>
              <w:t>Adopting the evidence</w:t>
            </w:r>
            <w:r w:rsidR="003E7EAB">
              <w:rPr>
                <w:noProof/>
                <w:webHidden/>
              </w:rPr>
              <w:tab/>
            </w:r>
            <w:r w:rsidR="003E7EAB">
              <w:rPr>
                <w:noProof/>
                <w:webHidden/>
              </w:rPr>
              <w:fldChar w:fldCharType="begin"/>
            </w:r>
            <w:r w:rsidR="003E7EAB">
              <w:rPr>
                <w:noProof/>
                <w:webHidden/>
              </w:rPr>
              <w:instrText xml:space="preserve"> PAGEREF _Toc458511948 \h </w:instrText>
            </w:r>
            <w:r w:rsidR="003E7EAB">
              <w:rPr>
                <w:noProof/>
                <w:webHidden/>
              </w:rPr>
            </w:r>
            <w:r w:rsidR="003E7EAB">
              <w:rPr>
                <w:noProof/>
                <w:webHidden/>
              </w:rPr>
              <w:fldChar w:fldCharType="separate"/>
            </w:r>
            <w:r w:rsidR="00E4609D">
              <w:rPr>
                <w:noProof/>
                <w:webHidden/>
              </w:rPr>
              <w:t>12</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49" w:history="1">
            <w:r w:rsidR="003E7EAB" w:rsidRPr="006069A0">
              <w:rPr>
                <w:rStyle w:val="Hyperlink"/>
                <w:noProof/>
              </w:rPr>
              <w:t>Building service system capacity</w:t>
            </w:r>
            <w:r w:rsidR="003E7EAB">
              <w:rPr>
                <w:noProof/>
                <w:webHidden/>
              </w:rPr>
              <w:tab/>
            </w:r>
            <w:r w:rsidR="003E7EAB">
              <w:rPr>
                <w:noProof/>
                <w:webHidden/>
              </w:rPr>
              <w:fldChar w:fldCharType="begin"/>
            </w:r>
            <w:r w:rsidR="003E7EAB">
              <w:rPr>
                <w:noProof/>
                <w:webHidden/>
              </w:rPr>
              <w:instrText xml:space="preserve"> PAGEREF _Toc458511949 \h </w:instrText>
            </w:r>
            <w:r w:rsidR="003E7EAB">
              <w:rPr>
                <w:noProof/>
                <w:webHidden/>
              </w:rPr>
            </w:r>
            <w:r w:rsidR="003E7EAB">
              <w:rPr>
                <w:noProof/>
                <w:webHidden/>
              </w:rPr>
              <w:fldChar w:fldCharType="separate"/>
            </w:r>
            <w:r w:rsidR="00E4609D">
              <w:rPr>
                <w:noProof/>
                <w:webHidden/>
              </w:rPr>
              <w:t>13</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50" w:history="1">
            <w:r w:rsidR="003E7EAB" w:rsidRPr="006069A0">
              <w:rPr>
                <w:rStyle w:val="Hyperlink"/>
                <w:noProof/>
              </w:rPr>
              <w:t>Driving quality, safety and innovation</w:t>
            </w:r>
            <w:r w:rsidR="003E7EAB">
              <w:rPr>
                <w:noProof/>
                <w:webHidden/>
              </w:rPr>
              <w:tab/>
            </w:r>
            <w:r w:rsidR="003E7EAB">
              <w:rPr>
                <w:noProof/>
                <w:webHidden/>
              </w:rPr>
              <w:fldChar w:fldCharType="begin"/>
            </w:r>
            <w:r w:rsidR="003E7EAB">
              <w:rPr>
                <w:noProof/>
                <w:webHidden/>
              </w:rPr>
              <w:instrText xml:space="preserve"> PAGEREF _Toc458511950 \h </w:instrText>
            </w:r>
            <w:r w:rsidR="003E7EAB">
              <w:rPr>
                <w:noProof/>
                <w:webHidden/>
              </w:rPr>
            </w:r>
            <w:r w:rsidR="003E7EAB">
              <w:rPr>
                <w:noProof/>
                <w:webHidden/>
              </w:rPr>
              <w:fldChar w:fldCharType="separate"/>
            </w:r>
            <w:r w:rsidR="00E4609D">
              <w:rPr>
                <w:noProof/>
                <w:webHidden/>
              </w:rPr>
              <w:t>14</w:t>
            </w:r>
            <w:r w:rsidR="003E7EAB">
              <w:rPr>
                <w:noProof/>
                <w:webHidden/>
              </w:rPr>
              <w:fldChar w:fldCharType="end"/>
            </w:r>
          </w:hyperlink>
        </w:p>
        <w:p w:rsidR="003E7EAB" w:rsidRDefault="00534122">
          <w:pPr>
            <w:pStyle w:val="TOC1"/>
            <w:tabs>
              <w:tab w:val="right" w:leader="dot" w:pos="9628"/>
            </w:tabs>
            <w:rPr>
              <w:rFonts w:eastAsiaTheme="minorEastAsia"/>
              <w:noProof/>
              <w:lang w:eastAsia="en-AU"/>
            </w:rPr>
          </w:pPr>
          <w:hyperlink w:anchor="_Toc458511951" w:history="1">
            <w:r w:rsidR="003E7EAB" w:rsidRPr="006069A0">
              <w:rPr>
                <w:rStyle w:val="Hyperlink"/>
                <w:noProof/>
              </w:rPr>
              <w:t>Next Steps</w:t>
            </w:r>
            <w:r w:rsidR="003E7EAB">
              <w:rPr>
                <w:noProof/>
                <w:webHidden/>
              </w:rPr>
              <w:tab/>
            </w:r>
            <w:r w:rsidR="003E7EAB">
              <w:rPr>
                <w:noProof/>
                <w:webHidden/>
              </w:rPr>
              <w:fldChar w:fldCharType="begin"/>
            </w:r>
            <w:r w:rsidR="003E7EAB">
              <w:rPr>
                <w:noProof/>
                <w:webHidden/>
              </w:rPr>
              <w:instrText xml:space="preserve"> PAGEREF _Toc458511951 \h </w:instrText>
            </w:r>
            <w:r w:rsidR="003E7EAB">
              <w:rPr>
                <w:noProof/>
                <w:webHidden/>
              </w:rPr>
            </w:r>
            <w:r w:rsidR="003E7EAB">
              <w:rPr>
                <w:noProof/>
                <w:webHidden/>
              </w:rPr>
              <w:fldChar w:fldCharType="separate"/>
            </w:r>
            <w:r w:rsidR="00E4609D">
              <w:rPr>
                <w:noProof/>
                <w:webHidden/>
              </w:rPr>
              <w:t>15</w:t>
            </w:r>
            <w:r w:rsidR="003E7EAB">
              <w:rPr>
                <w:noProof/>
                <w:webHidden/>
              </w:rPr>
              <w:fldChar w:fldCharType="end"/>
            </w:r>
          </w:hyperlink>
        </w:p>
        <w:p w:rsidR="003F74C6" w:rsidRDefault="008F4F64">
          <w:r>
            <w:rPr>
              <w:b/>
              <w:bCs/>
              <w:noProof/>
            </w:rPr>
            <w:fldChar w:fldCharType="end"/>
          </w:r>
        </w:p>
      </w:sdtContent>
    </w:sdt>
    <w:p w:rsidR="00E867A4" w:rsidRDefault="00E867A4">
      <w:pPr>
        <w:rPr>
          <w:rFonts w:asciiTheme="majorHAnsi" w:eastAsiaTheme="majorEastAsia" w:hAnsiTheme="majorHAnsi" w:cstheme="majorBidi"/>
          <w:color w:val="17365D" w:themeColor="text2" w:themeShade="BF"/>
          <w:spacing w:val="5"/>
          <w:sz w:val="52"/>
          <w:szCs w:val="52"/>
          <w:lang w:val="en-US"/>
        </w:rPr>
      </w:pPr>
      <w:r>
        <w:br w:type="page"/>
      </w:r>
    </w:p>
    <w:p w:rsidR="005A5AA9" w:rsidRDefault="005A5AA9" w:rsidP="005A5AA9">
      <w:pPr>
        <w:pStyle w:val="Heading1"/>
      </w:pPr>
      <w:bookmarkStart w:id="7" w:name="_Toc458511930"/>
      <w:r>
        <w:lastRenderedPageBreak/>
        <w:t>Introduction</w:t>
      </w:r>
      <w:bookmarkEnd w:id="7"/>
      <w:bookmarkEnd w:id="6"/>
    </w:p>
    <w:p w:rsidR="00B028E5" w:rsidRPr="00E0238C" w:rsidRDefault="005A5AA9" w:rsidP="005A5AA9">
      <w:pPr>
        <w:pStyle w:val="DHHSbody"/>
        <w:jc w:val="both"/>
        <w:rPr>
          <w:rFonts w:asciiTheme="minorHAnsi" w:hAnsiTheme="minorHAnsi" w:cs="Arial"/>
          <w:color w:val="222222"/>
          <w:sz w:val="22"/>
          <w:szCs w:val="24"/>
          <w:shd w:val="clear" w:color="auto" w:fill="FFFFFF"/>
        </w:rPr>
      </w:pPr>
      <w:r w:rsidRPr="00E0238C">
        <w:rPr>
          <w:rFonts w:asciiTheme="minorHAnsi" w:hAnsiTheme="minorHAnsi"/>
          <w:sz w:val="22"/>
          <w:szCs w:val="24"/>
        </w:rPr>
        <w:t>It has been over 60 years since the discovery of the double heli</w:t>
      </w:r>
      <w:r w:rsidR="00772F90" w:rsidRPr="00E0238C">
        <w:rPr>
          <w:rFonts w:asciiTheme="minorHAnsi" w:hAnsiTheme="minorHAnsi"/>
          <w:sz w:val="22"/>
          <w:szCs w:val="24"/>
        </w:rPr>
        <w:t>x</w:t>
      </w:r>
      <w:r w:rsidRPr="00E0238C">
        <w:rPr>
          <w:rFonts w:asciiTheme="minorHAnsi" w:hAnsiTheme="minorHAnsi"/>
          <w:sz w:val="22"/>
          <w:szCs w:val="24"/>
        </w:rPr>
        <w:t xml:space="preserve"> structure of </w:t>
      </w:r>
      <w:r w:rsidRPr="00E0238C">
        <w:rPr>
          <w:rFonts w:asciiTheme="minorHAnsi" w:hAnsiTheme="minorHAnsi" w:cs="Arial"/>
          <w:color w:val="222222"/>
          <w:sz w:val="22"/>
          <w:szCs w:val="24"/>
          <w:shd w:val="clear" w:color="auto" w:fill="FFFFFF"/>
        </w:rPr>
        <w:t>deoxyribonucleic acid (DNA) and more than a decade since the completion of the first phase of the Human Genome</w:t>
      </w:r>
      <w:r w:rsidR="00D53652">
        <w:rPr>
          <w:rStyle w:val="FootnoteReference"/>
          <w:rFonts w:asciiTheme="minorHAnsi" w:hAnsiTheme="minorHAnsi" w:cs="Arial"/>
          <w:color w:val="222222"/>
          <w:sz w:val="22"/>
          <w:szCs w:val="24"/>
          <w:shd w:val="clear" w:color="auto" w:fill="FFFFFF"/>
        </w:rPr>
        <w:footnoteReference w:id="1"/>
      </w:r>
      <w:r w:rsidRPr="00E0238C">
        <w:rPr>
          <w:rFonts w:asciiTheme="minorHAnsi" w:hAnsiTheme="minorHAnsi" w:cs="Arial"/>
          <w:color w:val="222222"/>
          <w:sz w:val="22"/>
          <w:szCs w:val="24"/>
          <w:shd w:val="clear" w:color="auto" w:fill="FFFFFF"/>
        </w:rPr>
        <w:t xml:space="preserve"> Project.</w:t>
      </w:r>
    </w:p>
    <w:p w:rsidR="005A5AA9" w:rsidRPr="00E0238C" w:rsidRDefault="00B028E5" w:rsidP="005A5AA9">
      <w:pPr>
        <w:pStyle w:val="DHHSbody"/>
        <w:jc w:val="both"/>
        <w:rPr>
          <w:rFonts w:asciiTheme="minorHAnsi" w:hAnsiTheme="minorHAnsi" w:cs="Arial"/>
          <w:color w:val="222222"/>
          <w:sz w:val="22"/>
          <w:szCs w:val="24"/>
          <w:shd w:val="clear" w:color="auto" w:fill="FFFFFF"/>
        </w:rPr>
      </w:pPr>
      <w:r w:rsidRPr="00E0238C">
        <w:rPr>
          <w:rFonts w:asciiTheme="minorHAnsi" w:hAnsiTheme="minorHAnsi" w:cs="Arial"/>
          <w:color w:val="222222"/>
          <w:sz w:val="22"/>
          <w:szCs w:val="24"/>
          <w:shd w:val="clear" w:color="auto" w:fill="FFFFFF"/>
        </w:rPr>
        <w:t>Since then</w:t>
      </w:r>
      <w:r w:rsidR="005A5AA9" w:rsidRPr="00E0238C">
        <w:rPr>
          <w:rFonts w:asciiTheme="minorHAnsi" w:hAnsiTheme="minorHAnsi" w:cs="Arial"/>
          <w:color w:val="222222"/>
          <w:sz w:val="22"/>
          <w:szCs w:val="24"/>
          <w:shd w:val="clear" w:color="auto" w:fill="FFFFFF"/>
        </w:rPr>
        <w:t>, there have been significant advances that, coupled with increasing community expectation</w:t>
      </w:r>
      <w:r w:rsidR="0066756A">
        <w:rPr>
          <w:rFonts w:asciiTheme="minorHAnsi" w:hAnsiTheme="minorHAnsi" w:cs="Arial"/>
          <w:color w:val="222222"/>
          <w:sz w:val="22"/>
          <w:szCs w:val="24"/>
          <w:shd w:val="clear" w:color="auto" w:fill="FFFFFF"/>
        </w:rPr>
        <w:t xml:space="preserve"> and increasing community health literacy</w:t>
      </w:r>
      <w:r w:rsidR="005A5AA9" w:rsidRPr="00E0238C">
        <w:rPr>
          <w:rFonts w:asciiTheme="minorHAnsi" w:hAnsiTheme="minorHAnsi" w:cs="Arial"/>
          <w:color w:val="222222"/>
          <w:sz w:val="22"/>
          <w:szCs w:val="24"/>
          <w:shd w:val="clear" w:color="auto" w:fill="FFFFFF"/>
        </w:rPr>
        <w:t xml:space="preserve">, </w:t>
      </w:r>
      <w:r w:rsidR="00D53652">
        <w:rPr>
          <w:rFonts w:asciiTheme="minorHAnsi" w:hAnsiTheme="minorHAnsi" w:cs="Arial"/>
          <w:color w:val="222222"/>
          <w:sz w:val="22"/>
          <w:szCs w:val="24"/>
          <w:shd w:val="clear" w:color="auto" w:fill="FFFFFF"/>
        </w:rPr>
        <w:t>are</w:t>
      </w:r>
      <w:r w:rsidR="00D53652" w:rsidRPr="00E0238C">
        <w:rPr>
          <w:rFonts w:asciiTheme="minorHAnsi" w:hAnsiTheme="minorHAnsi" w:cs="Arial"/>
          <w:color w:val="222222"/>
          <w:sz w:val="22"/>
          <w:szCs w:val="24"/>
          <w:shd w:val="clear" w:color="auto" w:fill="FFFFFF"/>
        </w:rPr>
        <w:t xml:space="preserve"> </w:t>
      </w:r>
      <w:r w:rsidR="005A5AA9" w:rsidRPr="00E0238C">
        <w:rPr>
          <w:rFonts w:asciiTheme="minorHAnsi" w:hAnsiTheme="minorHAnsi" w:cs="Arial"/>
          <w:color w:val="222222"/>
          <w:sz w:val="22"/>
          <w:szCs w:val="24"/>
          <w:shd w:val="clear" w:color="auto" w:fill="FFFFFF"/>
        </w:rPr>
        <w:t xml:space="preserve">bringing about a rapid increase in the pace at which genomic information is being discovered, gathered, analysed and applied. </w:t>
      </w:r>
      <w:r w:rsidR="00D53652">
        <w:rPr>
          <w:rFonts w:asciiTheme="minorHAnsi" w:hAnsiTheme="minorHAnsi" w:cs="Arial"/>
          <w:color w:val="222222"/>
          <w:sz w:val="22"/>
          <w:szCs w:val="24"/>
          <w:shd w:val="clear" w:color="auto" w:fill="FFFFFF"/>
        </w:rPr>
        <w:t xml:space="preserve"> </w:t>
      </w:r>
      <w:r w:rsidR="005A5AA9" w:rsidRPr="00E0238C">
        <w:rPr>
          <w:rFonts w:asciiTheme="minorHAnsi" w:hAnsiTheme="minorHAnsi" w:cs="Arial"/>
          <w:color w:val="222222"/>
          <w:sz w:val="22"/>
          <w:szCs w:val="24"/>
          <w:shd w:val="clear" w:color="auto" w:fill="FFFFFF"/>
        </w:rPr>
        <w:t>This poses both challenges and opportunities for health care delivery</w:t>
      </w:r>
      <w:r w:rsidR="001563D4">
        <w:rPr>
          <w:rFonts w:asciiTheme="minorHAnsi" w:hAnsiTheme="minorHAnsi" w:cs="Arial"/>
          <w:color w:val="222222"/>
          <w:sz w:val="22"/>
          <w:szCs w:val="24"/>
          <w:shd w:val="clear" w:color="auto" w:fill="FFFFFF"/>
        </w:rPr>
        <w:t>,</w:t>
      </w:r>
      <w:r w:rsidR="005A5AA9" w:rsidRPr="00E0238C">
        <w:rPr>
          <w:rFonts w:asciiTheme="minorHAnsi" w:hAnsiTheme="minorHAnsi" w:cs="Arial"/>
          <w:color w:val="222222"/>
          <w:sz w:val="22"/>
          <w:szCs w:val="24"/>
          <w:shd w:val="clear" w:color="auto" w:fill="FFFFFF"/>
        </w:rPr>
        <w:t xml:space="preserve"> </w:t>
      </w:r>
      <w:r w:rsidR="002A1AE8">
        <w:rPr>
          <w:rFonts w:asciiTheme="minorHAnsi" w:hAnsiTheme="minorHAnsi" w:cs="Arial"/>
          <w:color w:val="222222"/>
          <w:sz w:val="22"/>
          <w:szCs w:val="24"/>
          <w:shd w:val="clear" w:color="auto" w:fill="FFFFFF"/>
        </w:rPr>
        <w:t xml:space="preserve">public health </w:t>
      </w:r>
      <w:r w:rsidR="0066756A">
        <w:rPr>
          <w:rFonts w:asciiTheme="minorHAnsi" w:hAnsiTheme="minorHAnsi" w:cs="Arial"/>
          <w:color w:val="222222"/>
          <w:sz w:val="22"/>
          <w:szCs w:val="24"/>
          <w:shd w:val="clear" w:color="auto" w:fill="FFFFFF"/>
        </w:rPr>
        <w:t>surveillance</w:t>
      </w:r>
      <w:r w:rsidR="00D83F93">
        <w:rPr>
          <w:rFonts w:asciiTheme="minorHAnsi" w:hAnsiTheme="minorHAnsi" w:cs="Arial"/>
          <w:color w:val="222222"/>
          <w:sz w:val="22"/>
          <w:szCs w:val="24"/>
          <w:shd w:val="clear" w:color="auto" w:fill="FFFFFF"/>
        </w:rPr>
        <w:t xml:space="preserve"> </w:t>
      </w:r>
      <w:r w:rsidR="002A1AE8">
        <w:rPr>
          <w:rFonts w:asciiTheme="minorHAnsi" w:hAnsiTheme="minorHAnsi" w:cs="Arial"/>
          <w:color w:val="222222"/>
          <w:sz w:val="22"/>
          <w:szCs w:val="24"/>
          <w:shd w:val="clear" w:color="auto" w:fill="FFFFFF"/>
        </w:rPr>
        <w:t xml:space="preserve">and </w:t>
      </w:r>
      <w:r w:rsidR="005A5AA9" w:rsidRPr="00E0238C">
        <w:rPr>
          <w:rFonts w:asciiTheme="minorHAnsi" w:hAnsiTheme="minorHAnsi" w:cs="Arial"/>
          <w:color w:val="222222"/>
          <w:sz w:val="22"/>
          <w:szCs w:val="24"/>
          <w:shd w:val="clear" w:color="auto" w:fill="FFFFFF"/>
        </w:rPr>
        <w:t>biomedical research in Victoria.</w:t>
      </w:r>
    </w:p>
    <w:p w:rsidR="005A5AA9" w:rsidRPr="009E0D72" w:rsidRDefault="005A5AA9" w:rsidP="005A5AA9">
      <w:pPr>
        <w:pStyle w:val="DHHSbody"/>
        <w:jc w:val="both"/>
        <w:rPr>
          <w:rFonts w:asciiTheme="minorHAnsi" w:hAnsiTheme="minorHAnsi" w:cs="Arial"/>
          <w:color w:val="222222"/>
          <w:sz w:val="22"/>
          <w:szCs w:val="24"/>
          <w:shd w:val="clear" w:color="auto" w:fill="FFFFFF"/>
        </w:rPr>
      </w:pPr>
      <w:r w:rsidRPr="00E0238C">
        <w:rPr>
          <w:rFonts w:asciiTheme="minorHAnsi" w:hAnsiTheme="minorHAnsi" w:cs="Arial"/>
          <w:color w:val="222222"/>
          <w:sz w:val="22"/>
          <w:szCs w:val="24"/>
          <w:shd w:val="clear" w:color="auto" w:fill="FFFFFF"/>
        </w:rPr>
        <w:t xml:space="preserve">It is important to ensure that Victoria’s public health system </w:t>
      </w:r>
      <w:r w:rsidR="00772F90" w:rsidRPr="00E0238C">
        <w:rPr>
          <w:rFonts w:asciiTheme="minorHAnsi" w:hAnsiTheme="minorHAnsi" w:cs="Arial"/>
          <w:color w:val="222222"/>
          <w:sz w:val="22"/>
          <w:szCs w:val="24"/>
          <w:shd w:val="clear" w:color="auto" w:fill="FFFFFF"/>
        </w:rPr>
        <w:t>is, and continues to be, supported by</w:t>
      </w:r>
      <w:r w:rsidRPr="00E0238C">
        <w:rPr>
          <w:rFonts w:asciiTheme="minorHAnsi" w:hAnsiTheme="minorHAnsi" w:cs="Arial"/>
          <w:color w:val="222222"/>
          <w:sz w:val="22"/>
          <w:szCs w:val="24"/>
          <w:shd w:val="clear" w:color="auto" w:fill="FFFFFF"/>
        </w:rPr>
        <w:t xml:space="preserve"> a sound platform and is well placed to take advantage of new knowledge and approaches. </w:t>
      </w:r>
      <w:r w:rsidR="00D53652">
        <w:rPr>
          <w:rFonts w:asciiTheme="minorHAnsi" w:hAnsiTheme="minorHAnsi" w:cs="Arial"/>
          <w:color w:val="222222"/>
          <w:sz w:val="22"/>
          <w:szCs w:val="24"/>
          <w:shd w:val="clear" w:color="auto" w:fill="FFFFFF"/>
        </w:rPr>
        <w:t xml:space="preserve"> </w:t>
      </w:r>
      <w:r w:rsidRPr="00E0238C">
        <w:rPr>
          <w:rFonts w:asciiTheme="minorHAnsi" w:hAnsiTheme="minorHAnsi" w:cs="Arial"/>
          <w:color w:val="222222"/>
          <w:sz w:val="22"/>
          <w:szCs w:val="24"/>
          <w:shd w:val="clear" w:color="auto" w:fill="FFFFFF"/>
        </w:rPr>
        <w:t>Victoria’s health services</w:t>
      </w:r>
      <w:r w:rsidR="00083F3D" w:rsidRPr="00E0238C">
        <w:rPr>
          <w:rFonts w:asciiTheme="minorHAnsi" w:hAnsiTheme="minorHAnsi" w:cs="Arial"/>
          <w:color w:val="222222"/>
          <w:sz w:val="22"/>
          <w:szCs w:val="24"/>
          <w:shd w:val="clear" w:color="auto" w:fill="FFFFFF"/>
        </w:rPr>
        <w:t xml:space="preserve">, </w:t>
      </w:r>
      <w:r w:rsidR="001563D4">
        <w:rPr>
          <w:rFonts w:asciiTheme="minorHAnsi" w:hAnsiTheme="minorHAnsi" w:cs="Arial"/>
          <w:color w:val="222222"/>
          <w:sz w:val="22"/>
          <w:szCs w:val="24"/>
          <w:shd w:val="clear" w:color="auto" w:fill="FFFFFF"/>
        </w:rPr>
        <w:t xml:space="preserve">public health reference laboratories, </w:t>
      </w:r>
      <w:r w:rsidR="00083F3D" w:rsidRPr="00E0238C">
        <w:rPr>
          <w:rFonts w:asciiTheme="minorHAnsi" w:hAnsiTheme="minorHAnsi" w:cs="Arial"/>
          <w:color w:val="222222"/>
          <w:sz w:val="22"/>
          <w:szCs w:val="24"/>
          <w:shd w:val="clear" w:color="auto" w:fill="FFFFFF"/>
        </w:rPr>
        <w:t>universities</w:t>
      </w:r>
      <w:r w:rsidRPr="00E0238C">
        <w:rPr>
          <w:rFonts w:asciiTheme="minorHAnsi" w:hAnsiTheme="minorHAnsi" w:cs="Arial"/>
          <w:color w:val="222222"/>
          <w:sz w:val="22"/>
          <w:szCs w:val="24"/>
          <w:shd w:val="clear" w:color="auto" w:fill="FFFFFF"/>
        </w:rPr>
        <w:t xml:space="preserve"> and </w:t>
      </w:r>
      <w:r w:rsidR="00083F3D" w:rsidRPr="00E0238C">
        <w:rPr>
          <w:rFonts w:asciiTheme="minorHAnsi" w:hAnsiTheme="minorHAnsi" w:cs="Arial"/>
          <w:color w:val="222222"/>
          <w:sz w:val="22"/>
          <w:szCs w:val="24"/>
          <w:shd w:val="clear" w:color="auto" w:fill="FFFFFF"/>
        </w:rPr>
        <w:t xml:space="preserve">medical </w:t>
      </w:r>
      <w:r w:rsidRPr="00E0238C">
        <w:rPr>
          <w:rFonts w:asciiTheme="minorHAnsi" w:hAnsiTheme="minorHAnsi" w:cs="Arial"/>
          <w:color w:val="222222"/>
          <w:sz w:val="22"/>
          <w:szCs w:val="24"/>
          <w:shd w:val="clear" w:color="auto" w:fill="FFFFFF"/>
        </w:rPr>
        <w:t>research institutes need to be positioned to lead future discovery and innovation and the service system needs to be capable and well prepared to apply this new knowledge</w:t>
      </w:r>
      <w:r w:rsidR="00772F90" w:rsidRPr="00E0238C">
        <w:rPr>
          <w:rFonts w:asciiTheme="minorHAnsi" w:hAnsiTheme="minorHAnsi" w:cs="Arial"/>
          <w:color w:val="222222"/>
          <w:sz w:val="22"/>
          <w:szCs w:val="24"/>
          <w:shd w:val="clear" w:color="auto" w:fill="FFFFFF"/>
        </w:rPr>
        <w:t xml:space="preserve"> safely </w:t>
      </w:r>
      <w:r w:rsidR="0066756A">
        <w:rPr>
          <w:rFonts w:asciiTheme="minorHAnsi" w:hAnsiTheme="minorHAnsi" w:cs="Arial"/>
          <w:color w:val="222222"/>
          <w:sz w:val="22"/>
          <w:szCs w:val="24"/>
          <w:shd w:val="clear" w:color="auto" w:fill="FFFFFF"/>
        </w:rPr>
        <w:t xml:space="preserve">and ethically </w:t>
      </w:r>
      <w:r w:rsidR="00D53652">
        <w:rPr>
          <w:rFonts w:asciiTheme="minorHAnsi" w:hAnsiTheme="minorHAnsi" w:cs="Arial"/>
          <w:color w:val="222222"/>
          <w:sz w:val="22"/>
          <w:szCs w:val="24"/>
          <w:shd w:val="clear" w:color="auto" w:fill="FFFFFF"/>
        </w:rPr>
        <w:t xml:space="preserve">in order </w:t>
      </w:r>
      <w:r w:rsidR="00064B91">
        <w:rPr>
          <w:rFonts w:asciiTheme="minorHAnsi" w:hAnsiTheme="minorHAnsi" w:cs="Arial"/>
          <w:color w:val="222222"/>
          <w:sz w:val="22"/>
          <w:szCs w:val="24"/>
          <w:shd w:val="clear" w:color="auto" w:fill="FFFFFF"/>
        </w:rPr>
        <w:t>to improve the health and well</w:t>
      </w:r>
      <w:r w:rsidRPr="00E0238C">
        <w:rPr>
          <w:rFonts w:asciiTheme="minorHAnsi" w:hAnsiTheme="minorHAnsi" w:cs="Arial"/>
          <w:color w:val="222222"/>
          <w:sz w:val="22"/>
          <w:szCs w:val="24"/>
          <w:shd w:val="clear" w:color="auto" w:fill="FFFFFF"/>
        </w:rPr>
        <w:t>being of all Victorians.</w:t>
      </w:r>
    </w:p>
    <w:p w:rsidR="005A5AA9" w:rsidRPr="00412C4E" w:rsidRDefault="005A5AA9" w:rsidP="00744849">
      <w:pPr>
        <w:pStyle w:val="Heading2"/>
        <w:rPr>
          <w:shd w:val="clear" w:color="auto" w:fill="FFFFFF"/>
        </w:rPr>
      </w:pPr>
      <w:bookmarkStart w:id="8" w:name="_Toc458511931"/>
      <w:r>
        <w:rPr>
          <w:shd w:val="clear" w:color="auto" w:fill="FFFFFF"/>
        </w:rPr>
        <w:t>Document purpose</w:t>
      </w:r>
      <w:bookmarkEnd w:id="8"/>
    </w:p>
    <w:p w:rsidR="00E52118" w:rsidRPr="00E0238C" w:rsidRDefault="005A5AA9" w:rsidP="005A5AA9">
      <w:pPr>
        <w:pStyle w:val="DHHSbody"/>
        <w:jc w:val="both"/>
        <w:rPr>
          <w:rFonts w:asciiTheme="minorHAnsi" w:hAnsiTheme="minorHAnsi"/>
          <w:sz w:val="22"/>
          <w:szCs w:val="24"/>
        </w:rPr>
      </w:pPr>
      <w:r w:rsidRPr="00E0238C">
        <w:rPr>
          <w:rFonts w:asciiTheme="minorHAnsi" w:hAnsiTheme="minorHAnsi"/>
          <w:sz w:val="22"/>
          <w:szCs w:val="24"/>
        </w:rPr>
        <w:t xml:space="preserve">Victoria’s last Genetics Services Strategy was published in 2005. </w:t>
      </w:r>
      <w:r w:rsidR="00410149">
        <w:rPr>
          <w:rFonts w:asciiTheme="minorHAnsi" w:hAnsiTheme="minorHAnsi"/>
          <w:sz w:val="22"/>
          <w:szCs w:val="24"/>
        </w:rPr>
        <w:t xml:space="preserve"> </w:t>
      </w:r>
      <w:r w:rsidRPr="00E0238C">
        <w:rPr>
          <w:rFonts w:asciiTheme="minorHAnsi" w:hAnsiTheme="minorHAnsi"/>
          <w:sz w:val="22"/>
          <w:szCs w:val="24"/>
        </w:rPr>
        <w:t xml:space="preserve">It is time for a new strategy </w:t>
      </w:r>
      <w:r w:rsidR="00772F90" w:rsidRPr="00E0238C">
        <w:rPr>
          <w:rFonts w:asciiTheme="minorHAnsi" w:hAnsiTheme="minorHAnsi"/>
          <w:sz w:val="22"/>
          <w:szCs w:val="24"/>
        </w:rPr>
        <w:t xml:space="preserve">that </w:t>
      </w:r>
      <w:r w:rsidRPr="00E0238C">
        <w:rPr>
          <w:rFonts w:asciiTheme="minorHAnsi" w:hAnsiTheme="minorHAnsi"/>
          <w:sz w:val="22"/>
          <w:szCs w:val="24"/>
        </w:rPr>
        <w:t xml:space="preserve">provides a framework </w:t>
      </w:r>
      <w:r w:rsidR="00AF7EF5" w:rsidRPr="00E0238C">
        <w:rPr>
          <w:rFonts w:asciiTheme="minorHAnsi" w:hAnsiTheme="minorHAnsi"/>
          <w:sz w:val="22"/>
          <w:szCs w:val="24"/>
        </w:rPr>
        <w:t>guid</w:t>
      </w:r>
      <w:r w:rsidR="00772F90" w:rsidRPr="00E0238C">
        <w:rPr>
          <w:rFonts w:asciiTheme="minorHAnsi" w:hAnsiTheme="minorHAnsi"/>
          <w:sz w:val="22"/>
          <w:szCs w:val="24"/>
        </w:rPr>
        <w:t>ing</w:t>
      </w:r>
      <w:r w:rsidR="00AF7EF5" w:rsidRPr="00E0238C">
        <w:rPr>
          <w:rFonts w:asciiTheme="minorHAnsi" w:hAnsiTheme="minorHAnsi"/>
          <w:sz w:val="22"/>
          <w:szCs w:val="24"/>
        </w:rPr>
        <w:t xml:space="preserve"> the </w:t>
      </w:r>
      <w:r w:rsidR="00772F90" w:rsidRPr="00E0238C">
        <w:rPr>
          <w:rFonts w:asciiTheme="minorHAnsi" w:hAnsiTheme="minorHAnsi"/>
          <w:sz w:val="22"/>
          <w:szCs w:val="24"/>
        </w:rPr>
        <w:t xml:space="preserve">appropriate service and infrastructure planning </w:t>
      </w:r>
      <w:r w:rsidR="00AF7EF5" w:rsidRPr="00E0238C">
        <w:rPr>
          <w:rFonts w:asciiTheme="minorHAnsi" w:hAnsiTheme="minorHAnsi"/>
          <w:sz w:val="22"/>
          <w:szCs w:val="24"/>
        </w:rPr>
        <w:t>of public genetic</w:t>
      </w:r>
      <w:r w:rsidR="00B028E5" w:rsidRPr="00E0238C">
        <w:rPr>
          <w:rFonts w:asciiTheme="minorHAnsi" w:hAnsiTheme="minorHAnsi"/>
          <w:sz w:val="22"/>
          <w:szCs w:val="24"/>
        </w:rPr>
        <w:t xml:space="preserve"> and g</w:t>
      </w:r>
      <w:r w:rsidR="00744849" w:rsidRPr="00E0238C">
        <w:rPr>
          <w:rFonts w:asciiTheme="minorHAnsi" w:hAnsiTheme="minorHAnsi"/>
          <w:sz w:val="22"/>
          <w:szCs w:val="24"/>
        </w:rPr>
        <w:t>en</w:t>
      </w:r>
      <w:r w:rsidR="00B028E5" w:rsidRPr="00E0238C">
        <w:rPr>
          <w:rFonts w:asciiTheme="minorHAnsi" w:hAnsiTheme="minorHAnsi"/>
          <w:sz w:val="22"/>
          <w:szCs w:val="24"/>
        </w:rPr>
        <w:t>omic</w:t>
      </w:r>
      <w:r w:rsidR="00AF7EF5" w:rsidRPr="00E0238C">
        <w:rPr>
          <w:rFonts w:asciiTheme="minorHAnsi" w:hAnsiTheme="minorHAnsi"/>
          <w:sz w:val="22"/>
          <w:szCs w:val="24"/>
        </w:rPr>
        <w:t xml:space="preserve"> healthcare </w:t>
      </w:r>
      <w:r w:rsidR="00C42A40" w:rsidRPr="00E0238C">
        <w:rPr>
          <w:rFonts w:asciiTheme="minorHAnsi" w:hAnsiTheme="minorHAnsi"/>
          <w:sz w:val="22"/>
          <w:szCs w:val="24"/>
        </w:rPr>
        <w:t xml:space="preserve">in Victoria </w:t>
      </w:r>
      <w:r w:rsidR="00AF7EF5" w:rsidRPr="00E0238C">
        <w:rPr>
          <w:rFonts w:asciiTheme="minorHAnsi" w:hAnsiTheme="minorHAnsi"/>
          <w:sz w:val="22"/>
          <w:szCs w:val="24"/>
        </w:rPr>
        <w:t>into the future.</w:t>
      </w:r>
    </w:p>
    <w:p w:rsidR="00C64A83" w:rsidRDefault="00AF7EF5" w:rsidP="005A5AA9">
      <w:pPr>
        <w:pStyle w:val="DHHSbody"/>
        <w:jc w:val="both"/>
        <w:rPr>
          <w:rFonts w:asciiTheme="minorHAnsi" w:hAnsiTheme="minorHAnsi"/>
          <w:sz w:val="22"/>
          <w:szCs w:val="24"/>
        </w:rPr>
      </w:pPr>
      <w:r w:rsidRPr="00E0238C">
        <w:rPr>
          <w:rFonts w:asciiTheme="minorHAnsi" w:hAnsiTheme="minorHAnsi"/>
          <w:sz w:val="22"/>
          <w:szCs w:val="24"/>
        </w:rPr>
        <w:t xml:space="preserve">This discussion paper is part of the process for developing a new </w:t>
      </w:r>
      <w:r w:rsidR="00C42A40" w:rsidRPr="00E0238C">
        <w:rPr>
          <w:rFonts w:asciiTheme="minorHAnsi" w:hAnsiTheme="minorHAnsi"/>
          <w:sz w:val="22"/>
          <w:szCs w:val="24"/>
        </w:rPr>
        <w:t xml:space="preserve">Victorian </w:t>
      </w:r>
      <w:r w:rsidR="007D635D">
        <w:rPr>
          <w:rFonts w:asciiTheme="minorHAnsi" w:hAnsiTheme="minorHAnsi"/>
          <w:sz w:val="22"/>
          <w:szCs w:val="24"/>
        </w:rPr>
        <w:t>genetic and genomic</w:t>
      </w:r>
      <w:r w:rsidRPr="00E0238C">
        <w:rPr>
          <w:rFonts w:asciiTheme="minorHAnsi" w:hAnsiTheme="minorHAnsi"/>
          <w:sz w:val="22"/>
          <w:szCs w:val="24"/>
        </w:rPr>
        <w:t xml:space="preserve"> </w:t>
      </w:r>
      <w:r w:rsidR="005C3DAC" w:rsidRPr="00E0238C">
        <w:rPr>
          <w:rFonts w:asciiTheme="minorHAnsi" w:hAnsiTheme="minorHAnsi"/>
          <w:sz w:val="22"/>
          <w:szCs w:val="24"/>
        </w:rPr>
        <w:t xml:space="preserve">services </w:t>
      </w:r>
      <w:r w:rsidR="00F771DD">
        <w:rPr>
          <w:rFonts w:asciiTheme="minorHAnsi" w:hAnsiTheme="minorHAnsi"/>
          <w:sz w:val="22"/>
          <w:szCs w:val="24"/>
        </w:rPr>
        <w:t>strategy</w:t>
      </w:r>
      <w:r w:rsidRPr="00E0238C">
        <w:rPr>
          <w:rFonts w:asciiTheme="minorHAnsi" w:hAnsiTheme="minorHAnsi"/>
          <w:sz w:val="22"/>
          <w:szCs w:val="24"/>
        </w:rPr>
        <w:t xml:space="preserve">.  Its contents are </w:t>
      </w:r>
      <w:r w:rsidR="00C42A40" w:rsidRPr="00E0238C">
        <w:rPr>
          <w:rFonts w:asciiTheme="minorHAnsi" w:hAnsiTheme="minorHAnsi"/>
          <w:sz w:val="22"/>
          <w:szCs w:val="24"/>
        </w:rPr>
        <w:t>aligned with broad</w:t>
      </w:r>
      <w:r w:rsidR="00B028E5" w:rsidRPr="00E0238C">
        <w:rPr>
          <w:rFonts w:asciiTheme="minorHAnsi" w:hAnsiTheme="minorHAnsi"/>
          <w:sz w:val="22"/>
          <w:szCs w:val="24"/>
        </w:rPr>
        <w:t xml:space="preserve"> </w:t>
      </w:r>
      <w:r w:rsidRPr="00E0238C">
        <w:rPr>
          <w:rFonts w:asciiTheme="minorHAnsi" w:hAnsiTheme="minorHAnsi"/>
          <w:sz w:val="22"/>
          <w:szCs w:val="24"/>
        </w:rPr>
        <w:t>Victorian Government policy directions</w:t>
      </w:r>
      <w:r w:rsidR="003F03EE">
        <w:rPr>
          <w:rFonts w:asciiTheme="minorHAnsi" w:hAnsiTheme="minorHAnsi"/>
          <w:sz w:val="22"/>
          <w:szCs w:val="24"/>
        </w:rPr>
        <w:t xml:space="preserve">, including </w:t>
      </w:r>
      <w:r w:rsidR="003F03EE">
        <w:rPr>
          <w:rFonts w:asciiTheme="minorHAnsi" w:hAnsiTheme="minorHAnsi"/>
          <w:i/>
          <w:sz w:val="22"/>
          <w:szCs w:val="24"/>
        </w:rPr>
        <w:t>Health 2040:</w:t>
      </w:r>
      <w:r w:rsidR="003F03EE" w:rsidRPr="003F03EE">
        <w:rPr>
          <w:rFonts w:asciiTheme="minorHAnsi" w:hAnsiTheme="minorHAnsi"/>
          <w:i/>
          <w:sz w:val="22"/>
          <w:szCs w:val="24"/>
        </w:rPr>
        <w:t xml:space="preserve"> A discussion paper on the future of healthcare in Victoria</w:t>
      </w:r>
      <w:r w:rsidR="003F03EE">
        <w:rPr>
          <w:rFonts w:asciiTheme="minorHAnsi" w:hAnsiTheme="minorHAnsi"/>
          <w:sz w:val="22"/>
          <w:szCs w:val="24"/>
        </w:rPr>
        <w:t xml:space="preserve"> and the communique released following the </w:t>
      </w:r>
      <w:r w:rsidR="003F03EE" w:rsidRPr="003F03EE">
        <w:rPr>
          <w:rFonts w:asciiTheme="minorHAnsi" w:hAnsiTheme="minorHAnsi"/>
          <w:sz w:val="22"/>
          <w:szCs w:val="24"/>
        </w:rPr>
        <w:t xml:space="preserve">Victorian </w:t>
      </w:r>
      <w:r w:rsidR="003F03EE">
        <w:rPr>
          <w:rFonts w:asciiTheme="minorHAnsi" w:hAnsiTheme="minorHAnsi"/>
          <w:sz w:val="22"/>
          <w:szCs w:val="24"/>
        </w:rPr>
        <w:t xml:space="preserve">Health </w:t>
      </w:r>
      <w:r w:rsidR="003F03EE" w:rsidRPr="003F03EE">
        <w:rPr>
          <w:rFonts w:asciiTheme="minorHAnsi" w:hAnsiTheme="minorHAnsi"/>
          <w:sz w:val="22"/>
          <w:szCs w:val="24"/>
        </w:rPr>
        <w:t>Reform Summit</w:t>
      </w:r>
      <w:r w:rsidR="003F03EE">
        <w:rPr>
          <w:rFonts w:asciiTheme="minorHAnsi" w:hAnsiTheme="minorHAnsi"/>
          <w:sz w:val="22"/>
          <w:szCs w:val="24"/>
        </w:rPr>
        <w:t>, which identified key principles to guide future health reform.</w:t>
      </w:r>
    </w:p>
    <w:p w:rsidR="00410149" w:rsidRDefault="00C64A83" w:rsidP="005A5AA9">
      <w:pPr>
        <w:pStyle w:val="DHHSbody"/>
        <w:jc w:val="both"/>
        <w:rPr>
          <w:rFonts w:asciiTheme="minorHAnsi" w:hAnsiTheme="minorHAnsi"/>
          <w:sz w:val="22"/>
          <w:szCs w:val="24"/>
        </w:rPr>
      </w:pPr>
      <w:r>
        <w:rPr>
          <w:rFonts w:asciiTheme="minorHAnsi" w:hAnsiTheme="minorHAnsi"/>
          <w:sz w:val="22"/>
          <w:szCs w:val="24"/>
        </w:rPr>
        <w:t>T</w:t>
      </w:r>
      <w:r w:rsidR="00244EEB">
        <w:rPr>
          <w:rFonts w:asciiTheme="minorHAnsi" w:hAnsiTheme="minorHAnsi"/>
          <w:sz w:val="22"/>
          <w:szCs w:val="24"/>
        </w:rPr>
        <w:t>his</w:t>
      </w:r>
      <w:r w:rsidR="003F03EE">
        <w:rPr>
          <w:rFonts w:asciiTheme="minorHAnsi" w:hAnsiTheme="minorHAnsi"/>
          <w:sz w:val="22"/>
          <w:szCs w:val="24"/>
        </w:rPr>
        <w:t xml:space="preserve"> </w:t>
      </w:r>
      <w:r>
        <w:rPr>
          <w:rFonts w:asciiTheme="minorHAnsi" w:hAnsiTheme="minorHAnsi"/>
          <w:sz w:val="22"/>
          <w:szCs w:val="24"/>
        </w:rPr>
        <w:t xml:space="preserve">discussion </w:t>
      </w:r>
      <w:r w:rsidR="003F03EE">
        <w:rPr>
          <w:rFonts w:asciiTheme="minorHAnsi" w:hAnsiTheme="minorHAnsi"/>
          <w:sz w:val="22"/>
          <w:szCs w:val="24"/>
        </w:rPr>
        <w:t>paper includes</w:t>
      </w:r>
      <w:r w:rsidR="00C42A40" w:rsidRPr="00E0238C">
        <w:rPr>
          <w:rFonts w:asciiTheme="minorHAnsi" w:hAnsiTheme="minorHAnsi"/>
          <w:sz w:val="22"/>
          <w:szCs w:val="24"/>
        </w:rPr>
        <w:t xml:space="preserve"> </w:t>
      </w:r>
      <w:r w:rsidR="00AF7EF5" w:rsidRPr="00E0238C">
        <w:rPr>
          <w:rFonts w:asciiTheme="minorHAnsi" w:hAnsiTheme="minorHAnsi"/>
          <w:sz w:val="22"/>
          <w:szCs w:val="24"/>
        </w:rPr>
        <w:t xml:space="preserve">input </w:t>
      </w:r>
      <w:r w:rsidR="00C42A40" w:rsidRPr="00E0238C">
        <w:rPr>
          <w:rFonts w:asciiTheme="minorHAnsi" w:hAnsiTheme="minorHAnsi"/>
          <w:sz w:val="22"/>
          <w:szCs w:val="24"/>
        </w:rPr>
        <w:t xml:space="preserve">already provided </w:t>
      </w:r>
      <w:r w:rsidR="00AF7EF5" w:rsidRPr="00E0238C">
        <w:rPr>
          <w:rFonts w:asciiTheme="minorHAnsi" w:hAnsiTheme="minorHAnsi"/>
          <w:sz w:val="22"/>
          <w:szCs w:val="24"/>
        </w:rPr>
        <w:t>from</w:t>
      </w:r>
      <w:r>
        <w:rPr>
          <w:rFonts w:asciiTheme="minorHAnsi" w:hAnsiTheme="minorHAnsi"/>
          <w:sz w:val="22"/>
          <w:szCs w:val="24"/>
        </w:rPr>
        <w:t xml:space="preserve"> both internal and external</w:t>
      </w:r>
      <w:r w:rsidR="00AF7EF5" w:rsidRPr="00E0238C">
        <w:rPr>
          <w:rFonts w:asciiTheme="minorHAnsi" w:hAnsiTheme="minorHAnsi"/>
          <w:sz w:val="22"/>
          <w:szCs w:val="24"/>
        </w:rPr>
        <w:t xml:space="preserve"> expert advisory groups</w:t>
      </w:r>
      <w:r w:rsidR="00C42A40" w:rsidRPr="00E0238C">
        <w:rPr>
          <w:rFonts w:asciiTheme="minorHAnsi" w:hAnsiTheme="minorHAnsi"/>
          <w:sz w:val="22"/>
          <w:szCs w:val="24"/>
        </w:rPr>
        <w:t xml:space="preserve"> established to inform </w:t>
      </w:r>
      <w:r w:rsidR="003F03EE">
        <w:rPr>
          <w:rFonts w:asciiTheme="minorHAnsi" w:hAnsiTheme="minorHAnsi"/>
          <w:sz w:val="22"/>
          <w:szCs w:val="24"/>
        </w:rPr>
        <w:t xml:space="preserve">genetic and genomic </w:t>
      </w:r>
      <w:r w:rsidR="00C42A40" w:rsidRPr="00E0238C">
        <w:rPr>
          <w:rFonts w:asciiTheme="minorHAnsi" w:hAnsiTheme="minorHAnsi"/>
          <w:sz w:val="22"/>
          <w:szCs w:val="24"/>
        </w:rPr>
        <w:t>strategy development</w:t>
      </w:r>
      <w:r w:rsidR="00AF7EF5" w:rsidRPr="00E0238C">
        <w:rPr>
          <w:rFonts w:asciiTheme="minorHAnsi" w:hAnsiTheme="minorHAnsi"/>
          <w:sz w:val="22"/>
          <w:szCs w:val="24"/>
        </w:rPr>
        <w:t>.</w:t>
      </w:r>
      <w:r w:rsidR="00C42A40" w:rsidRPr="00E0238C">
        <w:rPr>
          <w:rFonts w:asciiTheme="minorHAnsi" w:hAnsiTheme="minorHAnsi"/>
          <w:sz w:val="22"/>
          <w:szCs w:val="24"/>
        </w:rPr>
        <w:t xml:space="preserve">  </w:t>
      </w:r>
      <w:r w:rsidR="00300B9F">
        <w:rPr>
          <w:rFonts w:asciiTheme="minorHAnsi" w:hAnsiTheme="minorHAnsi"/>
          <w:sz w:val="22"/>
          <w:szCs w:val="24"/>
        </w:rPr>
        <w:t>Vignettes have been included to illustrate aspects of genetic and genomic healthcare.</w:t>
      </w:r>
    </w:p>
    <w:p w:rsidR="00300B9F" w:rsidRPr="00E0238C" w:rsidRDefault="00C42A40" w:rsidP="005A5AA9">
      <w:pPr>
        <w:pStyle w:val="DHHSbody"/>
        <w:jc w:val="both"/>
        <w:rPr>
          <w:rFonts w:asciiTheme="minorHAnsi" w:hAnsiTheme="minorHAnsi"/>
          <w:sz w:val="22"/>
          <w:szCs w:val="24"/>
        </w:rPr>
      </w:pPr>
      <w:r w:rsidRPr="00E0238C">
        <w:rPr>
          <w:rFonts w:asciiTheme="minorHAnsi" w:hAnsiTheme="minorHAnsi"/>
          <w:sz w:val="22"/>
          <w:szCs w:val="24"/>
        </w:rPr>
        <w:t>Public f</w:t>
      </w:r>
      <w:r w:rsidR="005C3DAC" w:rsidRPr="00E0238C">
        <w:rPr>
          <w:rFonts w:asciiTheme="minorHAnsi" w:hAnsiTheme="minorHAnsi"/>
          <w:sz w:val="22"/>
          <w:szCs w:val="24"/>
        </w:rPr>
        <w:t>eedback on th</w:t>
      </w:r>
      <w:r w:rsidR="00772F90" w:rsidRPr="00E0238C">
        <w:rPr>
          <w:rFonts w:asciiTheme="minorHAnsi" w:hAnsiTheme="minorHAnsi"/>
          <w:sz w:val="22"/>
          <w:szCs w:val="24"/>
        </w:rPr>
        <w:t xml:space="preserve">is </w:t>
      </w:r>
      <w:r w:rsidR="00C64A83">
        <w:rPr>
          <w:rFonts w:asciiTheme="minorHAnsi" w:hAnsiTheme="minorHAnsi"/>
          <w:sz w:val="22"/>
          <w:szCs w:val="24"/>
        </w:rPr>
        <w:t xml:space="preserve">discussion </w:t>
      </w:r>
      <w:r w:rsidR="00244EEB">
        <w:rPr>
          <w:rFonts w:asciiTheme="minorHAnsi" w:hAnsiTheme="minorHAnsi"/>
          <w:sz w:val="22"/>
          <w:szCs w:val="24"/>
        </w:rPr>
        <w:t>paper</w:t>
      </w:r>
      <w:r w:rsidR="005C3DAC" w:rsidRPr="00E0238C">
        <w:rPr>
          <w:rFonts w:asciiTheme="minorHAnsi" w:hAnsiTheme="minorHAnsi"/>
          <w:sz w:val="22"/>
          <w:szCs w:val="24"/>
        </w:rPr>
        <w:t xml:space="preserve"> will be used to </w:t>
      </w:r>
      <w:r w:rsidR="00DD73A0" w:rsidRPr="00E0238C">
        <w:rPr>
          <w:rFonts w:asciiTheme="minorHAnsi" w:hAnsiTheme="minorHAnsi"/>
          <w:sz w:val="22"/>
          <w:szCs w:val="24"/>
        </w:rPr>
        <w:t>shape</w:t>
      </w:r>
      <w:r w:rsidR="005C3DAC" w:rsidRPr="00E0238C">
        <w:rPr>
          <w:rFonts w:asciiTheme="minorHAnsi" w:hAnsiTheme="minorHAnsi"/>
          <w:sz w:val="22"/>
          <w:szCs w:val="24"/>
        </w:rPr>
        <w:t xml:space="preserve"> </w:t>
      </w:r>
      <w:r w:rsidR="00C64A83">
        <w:rPr>
          <w:rFonts w:asciiTheme="minorHAnsi" w:hAnsiTheme="minorHAnsi"/>
          <w:sz w:val="22"/>
          <w:szCs w:val="24"/>
        </w:rPr>
        <w:t>the</w:t>
      </w:r>
      <w:r w:rsidR="00772F90" w:rsidRPr="00E0238C">
        <w:rPr>
          <w:rFonts w:asciiTheme="minorHAnsi" w:hAnsiTheme="minorHAnsi"/>
          <w:sz w:val="22"/>
          <w:szCs w:val="24"/>
        </w:rPr>
        <w:t xml:space="preserve"> </w:t>
      </w:r>
      <w:r w:rsidR="00C64A83">
        <w:rPr>
          <w:rFonts w:asciiTheme="minorHAnsi" w:hAnsiTheme="minorHAnsi"/>
          <w:sz w:val="22"/>
          <w:szCs w:val="24"/>
        </w:rPr>
        <w:t>new strateg</w:t>
      </w:r>
      <w:r w:rsidR="00F771DD">
        <w:rPr>
          <w:rFonts w:asciiTheme="minorHAnsi" w:hAnsiTheme="minorHAnsi"/>
          <w:sz w:val="22"/>
          <w:szCs w:val="24"/>
        </w:rPr>
        <w:t>y</w:t>
      </w:r>
      <w:r w:rsidR="00E80EC2">
        <w:rPr>
          <w:rFonts w:asciiTheme="minorHAnsi" w:hAnsiTheme="minorHAnsi"/>
          <w:sz w:val="22"/>
          <w:szCs w:val="24"/>
        </w:rPr>
        <w:t xml:space="preserve"> </w:t>
      </w:r>
      <w:r w:rsidR="00E53865" w:rsidRPr="00E0238C">
        <w:rPr>
          <w:rFonts w:asciiTheme="minorHAnsi" w:hAnsiTheme="minorHAnsi"/>
          <w:sz w:val="22"/>
          <w:szCs w:val="24"/>
        </w:rPr>
        <w:t xml:space="preserve">and inform </w:t>
      </w:r>
      <w:r w:rsidR="00244EEB">
        <w:rPr>
          <w:rFonts w:asciiTheme="minorHAnsi" w:hAnsiTheme="minorHAnsi"/>
          <w:sz w:val="22"/>
          <w:szCs w:val="24"/>
        </w:rPr>
        <w:t xml:space="preserve">future </w:t>
      </w:r>
      <w:r w:rsidR="00E53865" w:rsidRPr="00E0238C">
        <w:rPr>
          <w:rFonts w:asciiTheme="minorHAnsi" w:hAnsiTheme="minorHAnsi"/>
          <w:sz w:val="22"/>
          <w:szCs w:val="24"/>
        </w:rPr>
        <w:t xml:space="preserve">development of a statewide genetic </w:t>
      </w:r>
      <w:r w:rsidR="00772F90" w:rsidRPr="00E0238C">
        <w:rPr>
          <w:rFonts w:asciiTheme="minorHAnsi" w:hAnsiTheme="minorHAnsi"/>
          <w:sz w:val="22"/>
          <w:szCs w:val="24"/>
        </w:rPr>
        <w:t xml:space="preserve">and genomic </w:t>
      </w:r>
      <w:r w:rsidR="00E53865" w:rsidRPr="00E0238C">
        <w:rPr>
          <w:rFonts w:asciiTheme="minorHAnsi" w:hAnsiTheme="minorHAnsi"/>
          <w:sz w:val="22"/>
          <w:szCs w:val="24"/>
        </w:rPr>
        <w:t>service</w:t>
      </w:r>
      <w:r w:rsidR="00C64A83">
        <w:rPr>
          <w:rFonts w:asciiTheme="minorHAnsi" w:hAnsiTheme="minorHAnsi"/>
          <w:sz w:val="22"/>
          <w:szCs w:val="24"/>
        </w:rPr>
        <w:t xml:space="preserve"> and infrastructure</w:t>
      </w:r>
      <w:r w:rsidR="00E53865" w:rsidRPr="00E0238C">
        <w:rPr>
          <w:rFonts w:asciiTheme="minorHAnsi" w:hAnsiTheme="minorHAnsi"/>
          <w:sz w:val="22"/>
          <w:szCs w:val="24"/>
        </w:rPr>
        <w:t xml:space="preserve"> plan.</w:t>
      </w:r>
    </w:p>
    <w:p w:rsidR="00C4048A" w:rsidRDefault="00C4048A">
      <w:pPr>
        <w:rPr>
          <w:rFonts w:ascii="Arial" w:eastAsia="Times" w:hAnsi="Arial" w:cs="Arial"/>
          <w:color w:val="222222"/>
          <w:sz w:val="24"/>
          <w:szCs w:val="24"/>
          <w:shd w:val="clear" w:color="auto" w:fill="FFFFFF"/>
        </w:rPr>
      </w:pPr>
      <w:r>
        <w:rPr>
          <w:rFonts w:cs="Arial"/>
          <w:color w:val="222222"/>
          <w:sz w:val="24"/>
          <w:szCs w:val="24"/>
          <w:shd w:val="clear" w:color="auto" w:fill="FFFFFF"/>
        </w:rPr>
        <w:br w:type="page"/>
      </w:r>
    </w:p>
    <w:p w:rsidR="00C4048A" w:rsidRDefault="00C4048A" w:rsidP="00E0238C">
      <w:pPr>
        <w:pStyle w:val="Heading1"/>
        <w:spacing w:after="240"/>
      </w:pPr>
      <w:bookmarkStart w:id="9" w:name="_Toc444585141"/>
      <w:bookmarkStart w:id="10" w:name="_Toc458511932"/>
      <w:r>
        <w:lastRenderedPageBreak/>
        <w:t>Background</w:t>
      </w:r>
      <w:bookmarkEnd w:id="9"/>
      <w:bookmarkEnd w:id="10"/>
    </w:p>
    <w:p w:rsidR="008F4F64" w:rsidRPr="00921338" w:rsidRDefault="004451F8" w:rsidP="00921338">
      <w:pPr>
        <w:pStyle w:val="Heading2"/>
        <w:rPr>
          <w:shd w:val="clear" w:color="auto" w:fill="FFFFFF"/>
        </w:rPr>
      </w:pPr>
      <w:bookmarkStart w:id="11" w:name="_Toc458511933"/>
      <w:r>
        <w:rPr>
          <w:shd w:val="clear" w:color="auto" w:fill="FFFFFF"/>
        </w:rPr>
        <w:t>Human g</w:t>
      </w:r>
      <w:r w:rsidR="008F4F64" w:rsidRPr="00921338">
        <w:rPr>
          <w:shd w:val="clear" w:color="auto" w:fill="FFFFFF"/>
        </w:rPr>
        <w:t>enetic services</w:t>
      </w:r>
      <w:bookmarkEnd w:id="11"/>
    </w:p>
    <w:p w:rsidR="00146718" w:rsidRDefault="00C4048A" w:rsidP="00083F3D">
      <w:pPr>
        <w:pStyle w:val="DHSNumberText"/>
        <w:numPr>
          <w:ilvl w:val="0"/>
          <w:numId w:val="0"/>
        </w:numPr>
        <w:rPr>
          <w:rFonts w:asciiTheme="minorHAnsi" w:hAnsiTheme="minorHAnsi"/>
          <w:szCs w:val="24"/>
        </w:rPr>
      </w:pPr>
      <w:r w:rsidRPr="00E0238C">
        <w:rPr>
          <w:rFonts w:asciiTheme="minorHAnsi" w:hAnsiTheme="minorHAnsi"/>
          <w:szCs w:val="24"/>
        </w:rPr>
        <w:t xml:space="preserve">Victoria’s genetic services comprise specialist clinical and laboratory services that support and inform reproductive, paediatric and adult diagnosis, risk assessment and management of heritable medical conditions. </w:t>
      </w:r>
      <w:r w:rsidR="008A185A">
        <w:rPr>
          <w:rFonts w:asciiTheme="minorHAnsi" w:hAnsiTheme="minorHAnsi"/>
          <w:szCs w:val="24"/>
        </w:rPr>
        <w:t xml:space="preserve"> </w:t>
      </w:r>
      <w:r w:rsidR="00D51FBD">
        <w:rPr>
          <w:rFonts w:asciiTheme="minorHAnsi" w:hAnsiTheme="minorHAnsi"/>
          <w:szCs w:val="24"/>
        </w:rPr>
        <w:t xml:space="preserve">Genetic </w:t>
      </w:r>
      <w:r w:rsidR="00083F3D" w:rsidRPr="00E0238C">
        <w:rPr>
          <w:rFonts w:asciiTheme="minorHAnsi" w:hAnsiTheme="minorHAnsi"/>
          <w:szCs w:val="24"/>
        </w:rPr>
        <w:t xml:space="preserve">services have </w:t>
      </w:r>
      <w:r w:rsidR="000A4E51" w:rsidRPr="00E0238C">
        <w:rPr>
          <w:rFonts w:asciiTheme="minorHAnsi" w:hAnsiTheme="minorHAnsi"/>
          <w:szCs w:val="24"/>
        </w:rPr>
        <w:t xml:space="preserve">expanded </w:t>
      </w:r>
      <w:r w:rsidR="00083F3D" w:rsidRPr="00E0238C">
        <w:rPr>
          <w:rFonts w:asciiTheme="minorHAnsi" w:hAnsiTheme="minorHAnsi"/>
          <w:szCs w:val="24"/>
        </w:rPr>
        <w:t>significantly since the 1960s</w:t>
      </w:r>
      <w:r w:rsidR="000A4E51" w:rsidRPr="00E0238C">
        <w:rPr>
          <w:rFonts w:asciiTheme="minorHAnsi" w:hAnsiTheme="minorHAnsi"/>
          <w:szCs w:val="24"/>
        </w:rPr>
        <w:t>, when t</w:t>
      </w:r>
      <w:r w:rsidR="00C42A40" w:rsidRPr="00E0238C">
        <w:rPr>
          <w:rFonts w:asciiTheme="minorHAnsi" w:hAnsiTheme="minorHAnsi"/>
          <w:szCs w:val="24"/>
        </w:rPr>
        <w:t xml:space="preserve">he original focus </w:t>
      </w:r>
      <w:r w:rsidR="000A4E51" w:rsidRPr="00E0238C">
        <w:rPr>
          <w:rFonts w:asciiTheme="minorHAnsi" w:hAnsiTheme="minorHAnsi"/>
          <w:szCs w:val="24"/>
        </w:rPr>
        <w:t xml:space="preserve">was </w:t>
      </w:r>
      <w:r w:rsidR="00C42A40" w:rsidRPr="00E0238C">
        <w:rPr>
          <w:rFonts w:asciiTheme="minorHAnsi" w:hAnsiTheme="minorHAnsi"/>
          <w:szCs w:val="24"/>
        </w:rPr>
        <w:t xml:space="preserve">on </w:t>
      </w:r>
      <w:r w:rsidR="00083F3D" w:rsidRPr="00E0238C">
        <w:rPr>
          <w:rFonts w:asciiTheme="minorHAnsi" w:hAnsiTheme="minorHAnsi"/>
          <w:szCs w:val="24"/>
        </w:rPr>
        <w:t>paediatric and reproductive medicine</w:t>
      </w:r>
      <w:r w:rsidR="000A4E51" w:rsidRPr="00E0238C">
        <w:rPr>
          <w:rFonts w:asciiTheme="minorHAnsi" w:hAnsiTheme="minorHAnsi"/>
          <w:szCs w:val="24"/>
        </w:rPr>
        <w:t xml:space="preserve">, </w:t>
      </w:r>
      <w:r w:rsidR="00083F3D" w:rsidRPr="00E0238C">
        <w:rPr>
          <w:rFonts w:asciiTheme="minorHAnsi" w:hAnsiTheme="minorHAnsi"/>
          <w:szCs w:val="24"/>
        </w:rPr>
        <w:t xml:space="preserve">to </w:t>
      </w:r>
      <w:r w:rsidR="000A4E51" w:rsidRPr="00E0238C">
        <w:rPr>
          <w:rFonts w:asciiTheme="minorHAnsi" w:hAnsiTheme="minorHAnsi"/>
          <w:szCs w:val="24"/>
        </w:rPr>
        <w:t xml:space="preserve">now </w:t>
      </w:r>
      <w:r w:rsidR="00083F3D" w:rsidRPr="00E0238C">
        <w:rPr>
          <w:rFonts w:asciiTheme="minorHAnsi" w:hAnsiTheme="minorHAnsi"/>
          <w:szCs w:val="24"/>
        </w:rPr>
        <w:t xml:space="preserve">include </w:t>
      </w:r>
      <w:r w:rsidR="00D51FBD" w:rsidRPr="00BE0F99">
        <w:rPr>
          <w:rFonts w:asciiTheme="minorHAnsi" w:hAnsiTheme="minorHAnsi"/>
          <w:i/>
          <w:szCs w:val="24"/>
        </w:rPr>
        <w:t>inter alia</w:t>
      </w:r>
      <w:r w:rsidR="00146718">
        <w:rPr>
          <w:rFonts w:asciiTheme="minorHAnsi" w:hAnsiTheme="minorHAnsi"/>
          <w:szCs w:val="24"/>
        </w:rPr>
        <w:t xml:space="preserve"> applications such as:</w:t>
      </w:r>
    </w:p>
    <w:p w:rsidR="00146718" w:rsidRDefault="00146718" w:rsidP="00541773">
      <w:pPr>
        <w:pStyle w:val="DHSNumberText"/>
        <w:numPr>
          <w:ilvl w:val="0"/>
          <w:numId w:val="35"/>
        </w:numPr>
        <w:spacing w:line="240" w:lineRule="auto"/>
        <w:ind w:left="714" w:hanging="357"/>
        <w:rPr>
          <w:rFonts w:asciiTheme="minorHAnsi" w:hAnsiTheme="minorHAnsi"/>
          <w:szCs w:val="24"/>
        </w:rPr>
      </w:pPr>
      <w:r>
        <w:rPr>
          <w:rFonts w:asciiTheme="minorHAnsi" w:hAnsiTheme="minorHAnsi"/>
          <w:szCs w:val="24"/>
        </w:rPr>
        <w:t>Prenatal, such as non-invasive prenatal testing</w:t>
      </w:r>
    </w:p>
    <w:p w:rsidR="00146718" w:rsidRDefault="00146718" w:rsidP="00541773">
      <w:pPr>
        <w:pStyle w:val="DHSNumberText"/>
        <w:numPr>
          <w:ilvl w:val="0"/>
          <w:numId w:val="35"/>
        </w:numPr>
        <w:spacing w:line="240" w:lineRule="auto"/>
        <w:ind w:left="714" w:hanging="357"/>
        <w:rPr>
          <w:rFonts w:asciiTheme="minorHAnsi" w:hAnsiTheme="minorHAnsi"/>
          <w:szCs w:val="24"/>
        </w:rPr>
      </w:pPr>
      <w:r w:rsidRPr="00E0238C">
        <w:rPr>
          <w:rFonts w:asciiTheme="minorHAnsi" w:hAnsiTheme="minorHAnsi"/>
          <w:szCs w:val="24"/>
        </w:rPr>
        <w:t>A</w:t>
      </w:r>
      <w:r w:rsidR="00083F3D" w:rsidRPr="00E0238C">
        <w:rPr>
          <w:rFonts w:asciiTheme="minorHAnsi" w:hAnsiTheme="minorHAnsi"/>
          <w:szCs w:val="24"/>
        </w:rPr>
        <w:t>dult</w:t>
      </w:r>
      <w:r>
        <w:rPr>
          <w:rFonts w:asciiTheme="minorHAnsi" w:hAnsiTheme="minorHAnsi"/>
          <w:szCs w:val="24"/>
        </w:rPr>
        <w:t>,</w:t>
      </w:r>
      <w:r w:rsidR="00083F3D" w:rsidRPr="00E0238C">
        <w:rPr>
          <w:rFonts w:asciiTheme="minorHAnsi" w:hAnsiTheme="minorHAnsi"/>
          <w:szCs w:val="24"/>
        </w:rPr>
        <w:t xml:space="preserve"> </w:t>
      </w:r>
      <w:r w:rsidR="000A4E51" w:rsidRPr="00E0238C">
        <w:rPr>
          <w:rFonts w:asciiTheme="minorHAnsi" w:hAnsiTheme="minorHAnsi"/>
          <w:szCs w:val="24"/>
        </w:rPr>
        <w:t>such as cancer and heart disease</w:t>
      </w:r>
    </w:p>
    <w:p w:rsidR="00146718" w:rsidRDefault="00146718" w:rsidP="00541773">
      <w:pPr>
        <w:pStyle w:val="DHSNumberText"/>
        <w:numPr>
          <w:ilvl w:val="0"/>
          <w:numId w:val="35"/>
        </w:numPr>
        <w:spacing w:line="240" w:lineRule="auto"/>
        <w:ind w:left="714" w:hanging="357"/>
        <w:rPr>
          <w:rFonts w:asciiTheme="minorHAnsi" w:hAnsiTheme="minorHAnsi"/>
          <w:szCs w:val="24"/>
        </w:rPr>
      </w:pPr>
      <w:r>
        <w:rPr>
          <w:rFonts w:asciiTheme="minorHAnsi" w:hAnsiTheme="minorHAnsi"/>
          <w:szCs w:val="24"/>
        </w:rPr>
        <w:t>Safety and prevention (</w:t>
      </w:r>
      <w:r w:rsidR="00541773">
        <w:rPr>
          <w:rFonts w:asciiTheme="minorHAnsi" w:hAnsiTheme="minorHAnsi"/>
          <w:szCs w:val="24"/>
        </w:rPr>
        <w:t xml:space="preserve">pathogen genomics, </w:t>
      </w:r>
      <w:r>
        <w:rPr>
          <w:rFonts w:asciiTheme="minorHAnsi" w:hAnsiTheme="minorHAnsi"/>
          <w:szCs w:val="24"/>
        </w:rPr>
        <w:t>pharmacogenomics)</w:t>
      </w:r>
    </w:p>
    <w:p w:rsidR="00146718" w:rsidRDefault="00146718" w:rsidP="00541773">
      <w:pPr>
        <w:pStyle w:val="DHSNumberText"/>
        <w:numPr>
          <w:ilvl w:val="0"/>
          <w:numId w:val="35"/>
        </w:numPr>
        <w:spacing w:line="240" w:lineRule="auto"/>
        <w:ind w:left="714" w:hanging="357"/>
        <w:rPr>
          <w:rFonts w:asciiTheme="minorHAnsi" w:hAnsiTheme="minorHAnsi"/>
          <w:szCs w:val="24"/>
        </w:rPr>
      </w:pPr>
      <w:r>
        <w:rPr>
          <w:rFonts w:asciiTheme="minorHAnsi" w:hAnsiTheme="minorHAnsi"/>
          <w:szCs w:val="24"/>
        </w:rPr>
        <w:t xml:space="preserve">Treatment (pharmacotherapy) and </w:t>
      </w:r>
    </w:p>
    <w:p w:rsidR="00083F3D" w:rsidRPr="00E0238C" w:rsidRDefault="00146718" w:rsidP="009376BD">
      <w:pPr>
        <w:pStyle w:val="DHSNumberText"/>
        <w:numPr>
          <w:ilvl w:val="0"/>
          <w:numId w:val="35"/>
        </w:numPr>
        <w:rPr>
          <w:rFonts w:asciiTheme="minorHAnsi" w:hAnsiTheme="minorHAnsi"/>
          <w:szCs w:val="24"/>
        </w:rPr>
      </w:pPr>
      <w:r>
        <w:rPr>
          <w:rFonts w:asciiTheme="minorHAnsi" w:hAnsiTheme="minorHAnsi"/>
          <w:szCs w:val="24"/>
        </w:rPr>
        <w:t>Organ donation</w:t>
      </w:r>
      <w:r w:rsidR="00DC176C">
        <w:rPr>
          <w:rFonts w:asciiTheme="minorHAnsi" w:hAnsiTheme="minorHAnsi"/>
          <w:szCs w:val="24"/>
        </w:rPr>
        <w:t xml:space="preserve"> and transplantation</w:t>
      </w:r>
      <w:r w:rsidR="00083F3D" w:rsidRPr="00E0238C">
        <w:rPr>
          <w:rFonts w:asciiTheme="minorHAnsi" w:hAnsiTheme="minorHAnsi"/>
          <w:szCs w:val="24"/>
        </w:rPr>
        <w:t>.</w:t>
      </w:r>
    </w:p>
    <w:p w:rsidR="00083F3D" w:rsidRDefault="00083F3D" w:rsidP="00083F3D">
      <w:pPr>
        <w:pStyle w:val="DHSNumberText"/>
        <w:numPr>
          <w:ilvl w:val="0"/>
          <w:numId w:val="0"/>
        </w:numPr>
        <w:rPr>
          <w:rFonts w:asciiTheme="minorHAnsi" w:hAnsiTheme="minorHAnsi"/>
          <w:szCs w:val="24"/>
        </w:rPr>
      </w:pPr>
      <w:r w:rsidRPr="00E0238C">
        <w:rPr>
          <w:rFonts w:asciiTheme="minorHAnsi" w:hAnsiTheme="minorHAnsi"/>
          <w:szCs w:val="24"/>
        </w:rPr>
        <w:t xml:space="preserve">Waiting times for </w:t>
      </w:r>
      <w:r w:rsidR="00300B9F">
        <w:rPr>
          <w:rFonts w:asciiTheme="minorHAnsi" w:hAnsiTheme="minorHAnsi"/>
          <w:szCs w:val="24"/>
        </w:rPr>
        <w:t xml:space="preserve">public </w:t>
      </w:r>
      <w:r w:rsidR="00400280">
        <w:rPr>
          <w:rFonts w:asciiTheme="minorHAnsi" w:hAnsiTheme="minorHAnsi"/>
          <w:szCs w:val="24"/>
        </w:rPr>
        <w:t xml:space="preserve">genetic </w:t>
      </w:r>
      <w:r w:rsidR="000A4E51" w:rsidRPr="00E0238C">
        <w:rPr>
          <w:rFonts w:asciiTheme="minorHAnsi" w:hAnsiTheme="minorHAnsi"/>
          <w:szCs w:val="24"/>
        </w:rPr>
        <w:t xml:space="preserve">clinic </w:t>
      </w:r>
      <w:r w:rsidRPr="00E0238C">
        <w:rPr>
          <w:rFonts w:asciiTheme="minorHAnsi" w:hAnsiTheme="minorHAnsi"/>
          <w:szCs w:val="24"/>
        </w:rPr>
        <w:t xml:space="preserve">consultations are currently </w:t>
      </w:r>
      <w:r w:rsidR="00CA1C5C">
        <w:rPr>
          <w:rFonts w:asciiTheme="minorHAnsi" w:hAnsiTheme="minorHAnsi"/>
          <w:szCs w:val="24"/>
        </w:rPr>
        <w:t>up to</w:t>
      </w:r>
      <w:r w:rsidRPr="00E0238C">
        <w:rPr>
          <w:rFonts w:asciiTheme="minorHAnsi" w:hAnsiTheme="minorHAnsi"/>
          <w:szCs w:val="24"/>
        </w:rPr>
        <w:t xml:space="preserve"> nine months from </w:t>
      </w:r>
      <w:r w:rsidR="000A4E51" w:rsidRPr="00E0238C">
        <w:rPr>
          <w:rFonts w:asciiTheme="minorHAnsi" w:hAnsiTheme="minorHAnsi"/>
          <w:szCs w:val="24"/>
        </w:rPr>
        <w:t xml:space="preserve">initial </w:t>
      </w:r>
      <w:r w:rsidRPr="00E0238C">
        <w:rPr>
          <w:rFonts w:asciiTheme="minorHAnsi" w:hAnsiTheme="minorHAnsi"/>
          <w:szCs w:val="24"/>
        </w:rPr>
        <w:t xml:space="preserve">referral, resulting in anxiety </w:t>
      </w:r>
      <w:r w:rsidR="009A3C20">
        <w:rPr>
          <w:rFonts w:asciiTheme="minorHAnsi" w:hAnsiTheme="minorHAnsi"/>
          <w:szCs w:val="24"/>
        </w:rPr>
        <w:t xml:space="preserve">and potentially lost opportunity for early intervention </w:t>
      </w:r>
      <w:r w:rsidRPr="00E0238C">
        <w:rPr>
          <w:rFonts w:asciiTheme="minorHAnsi" w:hAnsiTheme="minorHAnsi"/>
          <w:szCs w:val="24"/>
        </w:rPr>
        <w:t xml:space="preserve">for individuals and families who are waiting </w:t>
      </w:r>
      <w:r w:rsidR="000A4E51" w:rsidRPr="00E0238C">
        <w:rPr>
          <w:rFonts w:asciiTheme="minorHAnsi" w:hAnsiTheme="minorHAnsi"/>
          <w:szCs w:val="24"/>
        </w:rPr>
        <w:t xml:space="preserve">for a consult, </w:t>
      </w:r>
      <w:r w:rsidRPr="00E0238C">
        <w:rPr>
          <w:rFonts w:asciiTheme="minorHAnsi" w:hAnsiTheme="minorHAnsi"/>
          <w:szCs w:val="24"/>
        </w:rPr>
        <w:t xml:space="preserve">and frustration for clinicians.  </w:t>
      </w:r>
      <w:r w:rsidR="00CA1C5C">
        <w:rPr>
          <w:rFonts w:asciiTheme="minorHAnsi" w:hAnsiTheme="minorHAnsi"/>
          <w:szCs w:val="24"/>
        </w:rPr>
        <w:t>U</w:t>
      </w:r>
      <w:r w:rsidRPr="00E0238C">
        <w:rPr>
          <w:rFonts w:asciiTheme="minorHAnsi" w:hAnsiTheme="minorHAnsi"/>
          <w:szCs w:val="24"/>
        </w:rPr>
        <w:t xml:space="preserve">rgent access </w:t>
      </w:r>
      <w:r w:rsidR="00CA1C5C">
        <w:rPr>
          <w:rFonts w:asciiTheme="minorHAnsi" w:hAnsiTheme="minorHAnsi"/>
          <w:szCs w:val="24"/>
        </w:rPr>
        <w:t xml:space="preserve">can be facilitated </w:t>
      </w:r>
      <w:r w:rsidRPr="00E0238C">
        <w:rPr>
          <w:rFonts w:asciiTheme="minorHAnsi" w:hAnsiTheme="minorHAnsi"/>
          <w:szCs w:val="24"/>
        </w:rPr>
        <w:t>if clinically necessary</w:t>
      </w:r>
      <w:r w:rsidR="000A4E51" w:rsidRPr="00E0238C">
        <w:rPr>
          <w:rFonts w:asciiTheme="minorHAnsi" w:hAnsiTheme="minorHAnsi"/>
          <w:szCs w:val="24"/>
        </w:rPr>
        <w:t xml:space="preserve">, noting this </w:t>
      </w:r>
      <w:r w:rsidR="009A3C20">
        <w:rPr>
          <w:rFonts w:asciiTheme="minorHAnsi" w:hAnsiTheme="minorHAnsi"/>
          <w:szCs w:val="24"/>
        </w:rPr>
        <w:t>usually</w:t>
      </w:r>
      <w:r w:rsidR="000A4E51" w:rsidRPr="00E0238C">
        <w:rPr>
          <w:rFonts w:asciiTheme="minorHAnsi" w:hAnsiTheme="minorHAnsi"/>
          <w:szCs w:val="24"/>
        </w:rPr>
        <w:t xml:space="preserve"> requires travel to Melbourne where clinic frequency is higher than in regional and rural Victoria</w:t>
      </w:r>
      <w:r w:rsidR="00D51FBD">
        <w:rPr>
          <w:rFonts w:asciiTheme="minorHAnsi" w:hAnsiTheme="minorHAnsi"/>
          <w:szCs w:val="24"/>
        </w:rPr>
        <w:t>.</w:t>
      </w:r>
    </w:p>
    <w:p w:rsidR="003E7EAB" w:rsidRPr="00E0238C" w:rsidRDefault="00C74668" w:rsidP="00083F3D">
      <w:pPr>
        <w:pStyle w:val="DHSNumberText"/>
        <w:numPr>
          <w:ilvl w:val="0"/>
          <w:numId w:val="0"/>
        </w:numPr>
        <w:rPr>
          <w:rFonts w:asciiTheme="minorHAnsi" w:hAnsiTheme="minorHAnsi"/>
          <w:szCs w:val="24"/>
        </w:rPr>
      </w:pPr>
      <w:r>
        <w:rPr>
          <w:rFonts w:asciiTheme="minorHAnsi" w:hAnsiTheme="minorHAnsi"/>
          <w:szCs w:val="24"/>
        </w:rPr>
        <w:t xml:space="preserve">The </w:t>
      </w:r>
      <w:r w:rsidR="002A1AE8">
        <w:rPr>
          <w:rFonts w:asciiTheme="minorHAnsi" w:hAnsiTheme="minorHAnsi"/>
          <w:szCs w:val="24"/>
        </w:rPr>
        <w:t xml:space="preserve">current </w:t>
      </w:r>
      <w:r>
        <w:rPr>
          <w:rFonts w:asciiTheme="minorHAnsi" w:hAnsiTheme="minorHAnsi"/>
          <w:szCs w:val="24"/>
        </w:rPr>
        <w:t xml:space="preserve">ineligibility of genetic counsellors to </w:t>
      </w:r>
      <w:r w:rsidR="002A1AE8">
        <w:rPr>
          <w:rFonts w:asciiTheme="minorHAnsi" w:hAnsiTheme="minorHAnsi"/>
          <w:szCs w:val="24"/>
        </w:rPr>
        <w:t xml:space="preserve">access </w:t>
      </w:r>
      <w:r>
        <w:rPr>
          <w:rFonts w:asciiTheme="minorHAnsi" w:hAnsiTheme="minorHAnsi"/>
          <w:szCs w:val="24"/>
        </w:rPr>
        <w:t xml:space="preserve">Medicare </w:t>
      </w:r>
      <w:r w:rsidR="002A1AE8">
        <w:rPr>
          <w:rFonts w:asciiTheme="minorHAnsi" w:hAnsiTheme="minorHAnsi"/>
          <w:szCs w:val="24"/>
        </w:rPr>
        <w:t xml:space="preserve">rebates </w:t>
      </w:r>
      <w:r>
        <w:rPr>
          <w:rFonts w:asciiTheme="minorHAnsi" w:hAnsiTheme="minorHAnsi"/>
          <w:szCs w:val="24"/>
        </w:rPr>
        <w:t xml:space="preserve">and </w:t>
      </w:r>
      <w:r w:rsidR="002A1AE8">
        <w:rPr>
          <w:rFonts w:asciiTheme="minorHAnsi" w:hAnsiTheme="minorHAnsi"/>
          <w:szCs w:val="24"/>
        </w:rPr>
        <w:t xml:space="preserve">the </w:t>
      </w:r>
      <w:r>
        <w:rPr>
          <w:rFonts w:asciiTheme="minorHAnsi" w:hAnsiTheme="minorHAnsi"/>
          <w:szCs w:val="24"/>
        </w:rPr>
        <w:t xml:space="preserve">absence of private health insurance coverage </w:t>
      </w:r>
      <w:r w:rsidR="002A1AE8">
        <w:rPr>
          <w:rFonts w:asciiTheme="minorHAnsi" w:hAnsiTheme="minorHAnsi"/>
          <w:szCs w:val="24"/>
        </w:rPr>
        <w:t xml:space="preserve">of genetic testing </w:t>
      </w:r>
      <w:r>
        <w:rPr>
          <w:rFonts w:asciiTheme="minorHAnsi" w:hAnsiTheme="minorHAnsi"/>
          <w:szCs w:val="24"/>
        </w:rPr>
        <w:t xml:space="preserve">means there are </w:t>
      </w:r>
      <w:r w:rsidR="001804BB">
        <w:rPr>
          <w:rFonts w:asciiTheme="minorHAnsi" w:hAnsiTheme="minorHAnsi"/>
          <w:szCs w:val="24"/>
        </w:rPr>
        <w:t xml:space="preserve">limited </w:t>
      </w:r>
      <w:r>
        <w:rPr>
          <w:rFonts w:asciiTheme="minorHAnsi" w:hAnsiTheme="minorHAnsi"/>
          <w:szCs w:val="24"/>
        </w:rPr>
        <w:t xml:space="preserve">private clinical genetic services available in Victoria </w:t>
      </w:r>
      <w:r w:rsidR="002A1AE8">
        <w:rPr>
          <w:rFonts w:asciiTheme="minorHAnsi" w:hAnsiTheme="minorHAnsi"/>
          <w:szCs w:val="24"/>
        </w:rPr>
        <w:t xml:space="preserve">since </w:t>
      </w:r>
      <w:r>
        <w:rPr>
          <w:rFonts w:asciiTheme="minorHAnsi" w:hAnsiTheme="minorHAnsi"/>
          <w:szCs w:val="24"/>
        </w:rPr>
        <w:t>patients usually incur out of pocket costs</w:t>
      </w:r>
      <w:r w:rsidR="002A1AE8">
        <w:rPr>
          <w:rFonts w:asciiTheme="minorHAnsi" w:hAnsiTheme="minorHAnsi"/>
          <w:szCs w:val="24"/>
        </w:rPr>
        <w:t>, including for genetic tests that might be ordered</w:t>
      </w:r>
      <w:r>
        <w:rPr>
          <w:rFonts w:asciiTheme="minorHAnsi" w:hAnsiTheme="minorHAnsi"/>
          <w:szCs w:val="24"/>
        </w:rPr>
        <w:t xml:space="preserve">.  Some </w:t>
      </w:r>
      <w:r w:rsidR="009A2FBD">
        <w:rPr>
          <w:rFonts w:asciiTheme="minorHAnsi" w:hAnsiTheme="minorHAnsi"/>
          <w:szCs w:val="24"/>
        </w:rPr>
        <w:t>medical specialists in other fields may order genetic testing</w:t>
      </w:r>
      <w:r w:rsidR="00033070">
        <w:rPr>
          <w:rFonts w:asciiTheme="minorHAnsi" w:hAnsiTheme="minorHAnsi"/>
          <w:szCs w:val="24"/>
        </w:rPr>
        <w:t xml:space="preserve"> and general practitioners may order some genetic tests</w:t>
      </w:r>
      <w:r w:rsidR="002A1AE8">
        <w:rPr>
          <w:rFonts w:asciiTheme="minorHAnsi" w:hAnsiTheme="minorHAnsi"/>
          <w:szCs w:val="24"/>
        </w:rPr>
        <w:t>;</w:t>
      </w:r>
      <w:r w:rsidR="00033070">
        <w:rPr>
          <w:rFonts w:asciiTheme="minorHAnsi" w:hAnsiTheme="minorHAnsi"/>
          <w:szCs w:val="24"/>
        </w:rPr>
        <w:t xml:space="preserve"> however</w:t>
      </w:r>
      <w:r w:rsidR="002A1AE8">
        <w:rPr>
          <w:rFonts w:asciiTheme="minorHAnsi" w:hAnsiTheme="minorHAnsi"/>
          <w:szCs w:val="24"/>
        </w:rPr>
        <w:t>,</w:t>
      </w:r>
      <w:r w:rsidR="00033070">
        <w:rPr>
          <w:rFonts w:asciiTheme="minorHAnsi" w:hAnsiTheme="minorHAnsi"/>
          <w:szCs w:val="24"/>
        </w:rPr>
        <w:t xml:space="preserve"> </w:t>
      </w:r>
      <w:r w:rsidR="002A1AE8">
        <w:rPr>
          <w:rFonts w:asciiTheme="minorHAnsi" w:hAnsiTheme="minorHAnsi"/>
          <w:szCs w:val="24"/>
        </w:rPr>
        <w:t>fewer than two dozen of the more than 4,000</w:t>
      </w:r>
      <w:r w:rsidR="00033070">
        <w:rPr>
          <w:rFonts w:asciiTheme="minorHAnsi" w:hAnsiTheme="minorHAnsi"/>
          <w:szCs w:val="24"/>
        </w:rPr>
        <w:t xml:space="preserve"> genetic tests </w:t>
      </w:r>
      <w:r w:rsidR="001804BB">
        <w:rPr>
          <w:rFonts w:asciiTheme="minorHAnsi" w:hAnsiTheme="minorHAnsi"/>
          <w:szCs w:val="24"/>
        </w:rPr>
        <w:t xml:space="preserve">available </w:t>
      </w:r>
      <w:r w:rsidR="00033070">
        <w:rPr>
          <w:rFonts w:asciiTheme="minorHAnsi" w:hAnsiTheme="minorHAnsi"/>
          <w:szCs w:val="24"/>
        </w:rPr>
        <w:t xml:space="preserve">are Medicare-funded. </w:t>
      </w:r>
      <w:r w:rsidR="009A2FBD">
        <w:rPr>
          <w:rFonts w:asciiTheme="minorHAnsi" w:hAnsiTheme="minorHAnsi"/>
          <w:szCs w:val="24"/>
        </w:rPr>
        <w:t xml:space="preserve"> </w:t>
      </w:r>
      <w:r w:rsidR="00033070">
        <w:rPr>
          <w:rFonts w:asciiTheme="minorHAnsi" w:hAnsiTheme="minorHAnsi"/>
          <w:szCs w:val="24"/>
        </w:rPr>
        <w:t xml:space="preserve">Some research </w:t>
      </w:r>
      <w:r w:rsidR="008671B7">
        <w:rPr>
          <w:rFonts w:asciiTheme="minorHAnsi" w:hAnsiTheme="minorHAnsi"/>
          <w:szCs w:val="24"/>
        </w:rPr>
        <w:t>projects</w:t>
      </w:r>
      <w:r w:rsidR="00033070">
        <w:rPr>
          <w:rFonts w:asciiTheme="minorHAnsi" w:hAnsiTheme="minorHAnsi"/>
          <w:szCs w:val="24"/>
        </w:rPr>
        <w:t xml:space="preserve"> </w:t>
      </w:r>
      <w:r w:rsidR="008671B7">
        <w:rPr>
          <w:rFonts w:asciiTheme="minorHAnsi" w:hAnsiTheme="minorHAnsi"/>
          <w:szCs w:val="24"/>
        </w:rPr>
        <w:t xml:space="preserve">include access to </w:t>
      </w:r>
      <w:r w:rsidR="00033070">
        <w:rPr>
          <w:rFonts w:asciiTheme="minorHAnsi" w:hAnsiTheme="minorHAnsi"/>
          <w:szCs w:val="24"/>
        </w:rPr>
        <w:t>genetic testing and counselling</w:t>
      </w:r>
      <w:r w:rsidR="002A1AE8">
        <w:rPr>
          <w:rFonts w:asciiTheme="minorHAnsi" w:hAnsiTheme="minorHAnsi"/>
          <w:szCs w:val="24"/>
        </w:rPr>
        <w:t xml:space="preserve"> that is covered by project funding</w:t>
      </w:r>
      <w:r w:rsidR="008671B7">
        <w:rPr>
          <w:rFonts w:asciiTheme="minorHAnsi" w:hAnsiTheme="minorHAnsi"/>
          <w:szCs w:val="24"/>
        </w:rPr>
        <w:t>.</w:t>
      </w:r>
      <w:r w:rsidR="003E7EAB">
        <w:rPr>
          <w:rFonts w:asciiTheme="minorHAnsi" w:hAnsiTheme="minorHAnsi"/>
          <w:szCs w:val="24"/>
        </w:rPr>
        <w:t xml:space="preserve"> </w:t>
      </w:r>
    </w:p>
    <w:p w:rsidR="005B3441" w:rsidRDefault="00083F3D" w:rsidP="00083F3D">
      <w:pPr>
        <w:pStyle w:val="DHSNumberText"/>
        <w:numPr>
          <w:ilvl w:val="0"/>
          <w:numId w:val="0"/>
        </w:numPr>
        <w:rPr>
          <w:rFonts w:asciiTheme="minorHAnsi" w:hAnsiTheme="minorHAnsi"/>
          <w:szCs w:val="24"/>
        </w:rPr>
      </w:pPr>
      <w:r w:rsidRPr="00E0238C">
        <w:rPr>
          <w:rFonts w:asciiTheme="minorHAnsi" w:hAnsiTheme="minorHAnsi"/>
          <w:szCs w:val="24"/>
        </w:rPr>
        <w:t>The number and complexity of clinical genetic tests has increased steeply over the last few years</w:t>
      </w:r>
      <w:r w:rsidR="00386A0F" w:rsidRPr="00E0238C">
        <w:rPr>
          <w:rFonts w:asciiTheme="minorHAnsi" w:hAnsiTheme="minorHAnsi"/>
          <w:szCs w:val="24"/>
        </w:rPr>
        <w:t xml:space="preserve">, </w:t>
      </w:r>
      <w:r w:rsidR="00CA1C5C">
        <w:rPr>
          <w:rFonts w:asciiTheme="minorHAnsi" w:hAnsiTheme="minorHAnsi"/>
          <w:szCs w:val="24"/>
        </w:rPr>
        <w:t xml:space="preserve">resulting in </w:t>
      </w:r>
      <w:r w:rsidRPr="00E0238C">
        <w:rPr>
          <w:rFonts w:asciiTheme="minorHAnsi" w:hAnsiTheme="minorHAnsi"/>
          <w:szCs w:val="24"/>
        </w:rPr>
        <w:t xml:space="preserve">increased cost and </w:t>
      </w:r>
      <w:r w:rsidR="00CA1C5C">
        <w:rPr>
          <w:rFonts w:asciiTheme="minorHAnsi" w:hAnsiTheme="minorHAnsi"/>
          <w:szCs w:val="24"/>
        </w:rPr>
        <w:t xml:space="preserve">creating </w:t>
      </w:r>
      <w:r w:rsidRPr="00E0238C">
        <w:rPr>
          <w:rFonts w:asciiTheme="minorHAnsi" w:hAnsiTheme="minorHAnsi"/>
          <w:szCs w:val="24"/>
        </w:rPr>
        <w:t xml:space="preserve">confusion for </w:t>
      </w:r>
      <w:r w:rsidR="00744849" w:rsidRPr="00E0238C">
        <w:rPr>
          <w:rFonts w:asciiTheme="minorHAnsi" w:hAnsiTheme="minorHAnsi"/>
          <w:szCs w:val="24"/>
        </w:rPr>
        <w:t>health professionals</w:t>
      </w:r>
      <w:r w:rsidRPr="00E0238C">
        <w:rPr>
          <w:rFonts w:asciiTheme="minorHAnsi" w:hAnsiTheme="minorHAnsi"/>
          <w:szCs w:val="24"/>
        </w:rPr>
        <w:t xml:space="preserve"> about what tests are funded and for what indications.</w:t>
      </w:r>
    </w:p>
    <w:p w:rsidR="005B3441" w:rsidRDefault="00887F40" w:rsidP="00083F3D">
      <w:pPr>
        <w:pStyle w:val="DHSNumberText"/>
        <w:numPr>
          <w:ilvl w:val="0"/>
          <w:numId w:val="0"/>
        </w:numPr>
        <w:rPr>
          <w:rFonts w:asciiTheme="minorHAnsi" w:hAnsiTheme="minorHAnsi"/>
          <w:szCs w:val="24"/>
        </w:rPr>
      </w:pPr>
      <w:r>
        <w:rPr>
          <w:rFonts w:asciiTheme="minorHAnsi" w:hAnsiTheme="minorHAnsi"/>
          <w:szCs w:val="24"/>
        </w:rPr>
        <w:t>C</w:t>
      </w:r>
      <w:r w:rsidR="00680706">
        <w:rPr>
          <w:rFonts w:asciiTheme="minorHAnsi" w:hAnsiTheme="minorHAnsi"/>
          <w:szCs w:val="24"/>
        </w:rPr>
        <w:t xml:space="preserve">linical </w:t>
      </w:r>
      <w:r w:rsidR="005B3441">
        <w:rPr>
          <w:rFonts w:asciiTheme="minorHAnsi" w:hAnsiTheme="minorHAnsi"/>
          <w:szCs w:val="24"/>
        </w:rPr>
        <w:t xml:space="preserve">DNA testing is now available to not only establish or confirm a </w:t>
      </w:r>
      <w:r w:rsidR="00680706">
        <w:rPr>
          <w:rFonts w:asciiTheme="minorHAnsi" w:hAnsiTheme="minorHAnsi"/>
          <w:szCs w:val="24"/>
        </w:rPr>
        <w:t xml:space="preserve">clinical </w:t>
      </w:r>
      <w:r w:rsidR="005B3441">
        <w:rPr>
          <w:rFonts w:asciiTheme="minorHAnsi" w:hAnsiTheme="minorHAnsi"/>
          <w:szCs w:val="24"/>
        </w:rPr>
        <w:t xml:space="preserve">diagnosis but to also characterise </w:t>
      </w:r>
      <w:r w:rsidR="00DF1F78">
        <w:rPr>
          <w:rFonts w:asciiTheme="minorHAnsi" w:hAnsiTheme="minorHAnsi"/>
          <w:szCs w:val="24"/>
        </w:rPr>
        <w:t xml:space="preserve">individual genomes and </w:t>
      </w:r>
      <w:r w:rsidR="005B3441">
        <w:rPr>
          <w:rFonts w:asciiTheme="minorHAnsi" w:hAnsiTheme="minorHAnsi"/>
          <w:szCs w:val="24"/>
        </w:rPr>
        <w:t>tumours to inform treatment</w:t>
      </w:r>
      <w:r w:rsidR="00680706">
        <w:rPr>
          <w:rFonts w:asciiTheme="minorHAnsi" w:hAnsiTheme="minorHAnsi"/>
          <w:szCs w:val="24"/>
        </w:rPr>
        <w:t>, identify predispositions to potentially adverse therapeutic reactions and improve donor matching in stem cell and organ transplantation.</w:t>
      </w:r>
    </w:p>
    <w:p w:rsidR="005B3441" w:rsidRDefault="00083F3D" w:rsidP="00083F3D">
      <w:pPr>
        <w:pStyle w:val="DHSNumberText"/>
        <w:numPr>
          <w:ilvl w:val="0"/>
          <w:numId w:val="0"/>
        </w:numPr>
        <w:rPr>
          <w:rFonts w:asciiTheme="minorHAnsi" w:hAnsiTheme="minorHAnsi"/>
          <w:szCs w:val="24"/>
        </w:rPr>
      </w:pPr>
      <w:r w:rsidRPr="00E0238C">
        <w:rPr>
          <w:rFonts w:asciiTheme="minorHAnsi" w:hAnsiTheme="minorHAnsi"/>
          <w:szCs w:val="24"/>
        </w:rPr>
        <w:t xml:space="preserve">Each </w:t>
      </w:r>
      <w:r w:rsidR="00386A0F" w:rsidRPr="00E0238C">
        <w:rPr>
          <w:rFonts w:asciiTheme="minorHAnsi" w:hAnsiTheme="minorHAnsi"/>
          <w:szCs w:val="24"/>
        </w:rPr>
        <w:t xml:space="preserve">clinical discipline </w:t>
      </w:r>
      <w:r w:rsidR="00502026" w:rsidRPr="00E0238C">
        <w:rPr>
          <w:rFonts w:asciiTheme="minorHAnsi" w:hAnsiTheme="minorHAnsi"/>
          <w:szCs w:val="24"/>
        </w:rPr>
        <w:t>is being</w:t>
      </w:r>
      <w:r w:rsidRPr="00E0238C">
        <w:rPr>
          <w:rFonts w:asciiTheme="minorHAnsi" w:hAnsiTheme="minorHAnsi"/>
          <w:szCs w:val="24"/>
        </w:rPr>
        <w:t xml:space="preserve"> challenged </w:t>
      </w:r>
      <w:r w:rsidR="00386A0F" w:rsidRPr="00E0238C">
        <w:rPr>
          <w:rFonts w:asciiTheme="minorHAnsi" w:hAnsiTheme="minorHAnsi"/>
          <w:szCs w:val="24"/>
        </w:rPr>
        <w:t xml:space="preserve">on </w:t>
      </w:r>
      <w:r w:rsidRPr="00E0238C">
        <w:rPr>
          <w:rFonts w:asciiTheme="minorHAnsi" w:hAnsiTheme="minorHAnsi"/>
          <w:szCs w:val="24"/>
        </w:rPr>
        <w:t xml:space="preserve">how it should </w:t>
      </w:r>
      <w:r w:rsidR="00386A0F" w:rsidRPr="00E0238C">
        <w:rPr>
          <w:rFonts w:asciiTheme="minorHAnsi" w:hAnsiTheme="minorHAnsi"/>
          <w:szCs w:val="24"/>
        </w:rPr>
        <w:t xml:space="preserve">appropriately </w:t>
      </w:r>
      <w:r w:rsidRPr="00E0238C">
        <w:rPr>
          <w:rFonts w:asciiTheme="minorHAnsi" w:hAnsiTheme="minorHAnsi"/>
          <w:szCs w:val="24"/>
        </w:rPr>
        <w:t xml:space="preserve">integrate genomic </w:t>
      </w:r>
      <w:r w:rsidR="00887F40">
        <w:rPr>
          <w:rFonts w:asciiTheme="minorHAnsi" w:hAnsiTheme="minorHAnsi"/>
          <w:szCs w:val="24"/>
        </w:rPr>
        <w:t>knowledge</w:t>
      </w:r>
      <w:r w:rsidR="00887F40" w:rsidRPr="00E0238C">
        <w:rPr>
          <w:rFonts w:asciiTheme="minorHAnsi" w:hAnsiTheme="minorHAnsi"/>
          <w:szCs w:val="24"/>
        </w:rPr>
        <w:t xml:space="preserve"> </w:t>
      </w:r>
      <w:r w:rsidRPr="00E0238C">
        <w:rPr>
          <w:rFonts w:asciiTheme="minorHAnsi" w:hAnsiTheme="minorHAnsi"/>
          <w:szCs w:val="24"/>
        </w:rPr>
        <w:t>into current practice</w:t>
      </w:r>
      <w:r w:rsidR="002A1AE8">
        <w:rPr>
          <w:rFonts w:asciiTheme="minorHAnsi" w:hAnsiTheme="minorHAnsi"/>
          <w:szCs w:val="24"/>
        </w:rPr>
        <w:t>.  Each</w:t>
      </w:r>
      <w:r w:rsidRPr="00E0238C">
        <w:rPr>
          <w:rFonts w:asciiTheme="minorHAnsi" w:hAnsiTheme="minorHAnsi"/>
          <w:szCs w:val="24"/>
        </w:rPr>
        <w:t xml:space="preserve"> is devising innovative multidisciplinary approaches</w:t>
      </w:r>
      <w:r w:rsidR="00502026" w:rsidRPr="00E0238C">
        <w:rPr>
          <w:rFonts w:asciiTheme="minorHAnsi" w:hAnsiTheme="minorHAnsi"/>
          <w:szCs w:val="24"/>
        </w:rPr>
        <w:t xml:space="preserve"> to clinical care</w:t>
      </w:r>
      <w:r w:rsidRPr="00E0238C">
        <w:rPr>
          <w:rFonts w:asciiTheme="minorHAnsi" w:hAnsiTheme="minorHAnsi"/>
          <w:szCs w:val="24"/>
        </w:rPr>
        <w:t xml:space="preserve">. </w:t>
      </w:r>
      <w:r w:rsidR="00D51FBD">
        <w:rPr>
          <w:rFonts w:asciiTheme="minorHAnsi" w:hAnsiTheme="minorHAnsi"/>
          <w:szCs w:val="24"/>
        </w:rPr>
        <w:t xml:space="preserve"> </w:t>
      </w:r>
      <w:r w:rsidR="00CA1C5C">
        <w:rPr>
          <w:rFonts w:asciiTheme="minorHAnsi" w:hAnsiTheme="minorHAnsi"/>
          <w:szCs w:val="24"/>
        </w:rPr>
        <w:t>However, to provide most benefit, t</w:t>
      </w:r>
      <w:r w:rsidRPr="00E0238C">
        <w:rPr>
          <w:rFonts w:asciiTheme="minorHAnsi" w:hAnsiTheme="minorHAnsi"/>
          <w:szCs w:val="24"/>
        </w:rPr>
        <w:t xml:space="preserve">he challenge </w:t>
      </w:r>
      <w:r w:rsidR="008209B6">
        <w:rPr>
          <w:rFonts w:asciiTheme="minorHAnsi" w:hAnsiTheme="minorHAnsi"/>
          <w:szCs w:val="24"/>
        </w:rPr>
        <w:t xml:space="preserve">now </w:t>
      </w:r>
      <w:r w:rsidR="00502026" w:rsidRPr="00E0238C">
        <w:rPr>
          <w:rFonts w:asciiTheme="minorHAnsi" w:hAnsiTheme="minorHAnsi"/>
          <w:szCs w:val="24"/>
        </w:rPr>
        <w:t>is</w:t>
      </w:r>
      <w:r w:rsidRPr="00E0238C">
        <w:rPr>
          <w:rFonts w:asciiTheme="minorHAnsi" w:hAnsiTheme="minorHAnsi"/>
          <w:szCs w:val="24"/>
        </w:rPr>
        <w:t xml:space="preserve"> </w:t>
      </w:r>
      <w:r w:rsidR="008209B6">
        <w:rPr>
          <w:rFonts w:asciiTheme="minorHAnsi" w:hAnsiTheme="minorHAnsi"/>
          <w:szCs w:val="24"/>
        </w:rPr>
        <w:t xml:space="preserve">to </w:t>
      </w:r>
      <w:r w:rsidRPr="00E0238C">
        <w:rPr>
          <w:rFonts w:asciiTheme="minorHAnsi" w:hAnsiTheme="minorHAnsi"/>
          <w:szCs w:val="24"/>
        </w:rPr>
        <w:t xml:space="preserve">broaden the current </w:t>
      </w:r>
      <w:r w:rsidRPr="00E0238C">
        <w:rPr>
          <w:rFonts w:asciiTheme="minorHAnsi" w:hAnsiTheme="minorHAnsi"/>
          <w:i/>
          <w:szCs w:val="24"/>
        </w:rPr>
        <w:t>ad hoc</w:t>
      </w:r>
      <w:r w:rsidRPr="00E0238C">
        <w:rPr>
          <w:rFonts w:asciiTheme="minorHAnsi" w:hAnsiTheme="minorHAnsi"/>
          <w:szCs w:val="24"/>
        </w:rPr>
        <w:t xml:space="preserve"> </w:t>
      </w:r>
      <w:r w:rsidR="00CA1C5C">
        <w:rPr>
          <w:rFonts w:asciiTheme="minorHAnsi" w:hAnsiTheme="minorHAnsi"/>
          <w:szCs w:val="24"/>
        </w:rPr>
        <w:t xml:space="preserve">approach </w:t>
      </w:r>
      <w:r w:rsidRPr="00E0238C">
        <w:rPr>
          <w:rFonts w:asciiTheme="minorHAnsi" w:hAnsiTheme="minorHAnsi"/>
          <w:szCs w:val="24"/>
        </w:rPr>
        <w:t xml:space="preserve">into </w:t>
      </w:r>
      <w:r w:rsidR="00502026" w:rsidRPr="00E0238C">
        <w:rPr>
          <w:rFonts w:asciiTheme="minorHAnsi" w:hAnsiTheme="minorHAnsi"/>
          <w:szCs w:val="24"/>
        </w:rPr>
        <w:t xml:space="preserve">a systematic </w:t>
      </w:r>
      <w:r w:rsidR="00D51FBD">
        <w:rPr>
          <w:rFonts w:asciiTheme="minorHAnsi" w:hAnsiTheme="minorHAnsi"/>
          <w:szCs w:val="24"/>
        </w:rPr>
        <w:t>and</w:t>
      </w:r>
      <w:r w:rsidR="00A375D8">
        <w:rPr>
          <w:rFonts w:asciiTheme="minorHAnsi" w:hAnsiTheme="minorHAnsi"/>
          <w:szCs w:val="24"/>
        </w:rPr>
        <w:t xml:space="preserve"> clinically</w:t>
      </w:r>
      <w:r w:rsidR="00D51FBD">
        <w:rPr>
          <w:rFonts w:asciiTheme="minorHAnsi" w:hAnsiTheme="minorHAnsi"/>
          <w:szCs w:val="24"/>
        </w:rPr>
        <w:t xml:space="preserve"> appropriate </w:t>
      </w:r>
      <w:r w:rsidR="00502026" w:rsidRPr="00E0238C">
        <w:rPr>
          <w:rFonts w:asciiTheme="minorHAnsi" w:hAnsiTheme="minorHAnsi"/>
          <w:szCs w:val="24"/>
        </w:rPr>
        <w:t>incorporation</w:t>
      </w:r>
      <w:r w:rsidR="007D635D">
        <w:rPr>
          <w:rFonts w:asciiTheme="minorHAnsi" w:hAnsiTheme="minorHAnsi"/>
          <w:szCs w:val="24"/>
        </w:rPr>
        <w:t xml:space="preserve"> of genomic knowledge</w:t>
      </w:r>
      <w:r w:rsidR="00502026" w:rsidRPr="00E0238C">
        <w:rPr>
          <w:rFonts w:asciiTheme="minorHAnsi" w:hAnsiTheme="minorHAnsi"/>
          <w:szCs w:val="24"/>
        </w:rPr>
        <w:t xml:space="preserve"> into </w:t>
      </w:r>
      <w:r w:rsidRPr="00E0238C">
        <w:rPr>
          <w:rFonts w:asciiTheme="minorHAnsi" w:hAnsiTheme="minorHAnsi"/>
          <w:szCs w:val="24"/>
        </w:rPr>
        <w:t xml:space="preserve">the public healthcare </w:t>
      </w:r>
      <w:r w:rsidR="00C42A40" w:rsidRPr="00E0238C">
        <w:rPr>
          <w:rFonts w:asciiTheme="minorHAnsi" w:hAnsiTheme="minorHAnsi"/>
          <w:szCs w:val="24"/>
        </w:rPr>
        <w:t>setting</w:t>
      </w:r>
      <w:r w:rsidR="008209B6">
        <w:rPr>
          <w:rFonts w:asciiTheme="minorHAnsi" w:hAnsiTheme="minorHAnsi"/>
          <w:szCs w:val="24"/>
        </w:rPr>
        <w:t>, including clinical, laboratory, research and education</w:t>
      </w:r>
      <w:r w:rsidRPr="00E0238C">
        <w:rPr>
          <w:rFonts w:asciiTheme="minorHAnsi" w:hAnsiTheme="minorHAnsi"/>
          <w:szCs w:val="24"/>
        </w:rPr>
        <w:t>.</w:t>
      </w:r>
    </w:p>
    <w:p w:rsidR="008F4F64" w:rsidRPr="00921338" w:rsidRDefault="008F4F64" w:rsidP="00921338">
      <w:pPr>
        <w:pStyle w:val="Heading2"/>
        <w:rPr>
          <w:shd w:val="clear" w:color="auto" w:fill="FFFFFF"/>
        </w:rPr>
      </w:pPr>
      <w:bookmarkStart w:id="12" w:name="_Toc458511934"/>
      <w:r w:rsidRPr="00921338">
        <w:rPr>
          <w:shd w:val="clear" w:color="auto" w:fill="FFFFFF"/>
        </w:rPr>
        <w:t xml:space="preserve">Microbial </w:t>
      </w:r>
      <w:r w:rsidR="003A6C69">
        <w:rPr>
          <w:shd w:val="clear" w:color="auto" w:fill="FFFFFF"/>
        </w:rPr>
        <w:t>diagnostic</w:t>
      </w:r>
      <w:r w:rsidR="008209B6" w:rsidRPr="00921338">
        <w:rPr>
          <w:shd w:val="clear" w:color="auto" w:fill="FFFFFF"/>
        </w:rPr>
        <w:t xml:space="preserve"> </w:t>
      </w:r>
      <w:r w:rsidRPr="00921338">
        <w:rPr>
          <w:shd w:val="clear" w:color="auto" w:fill="FFFFFF"/>
        </w:rPr>
        <w:t>services</w:t>
      </w:r>
      <w:bookmarkEnd w:id="12"/>
    </w:p>
    <w:p w:rsidR="008F4F64" w:rsidRPr="00921338" w:rsidRDefault="008F4F64" w:rsidP="00921338">
      <w:pPr>
        <w:pStyle w:val="DHSNumberText"/>
        <w:numPr>
          <w:ilvl w:val="0"/>
          <w:numId w:val="0"/>
        </w:numPr>
        <w:rPr>
          <w:rFonts w:asciiTheme="minorHAnsi" w:hAnsiTheme="minorHAnsi"/>
          <w:szCs w:val="24"/>
        </w:rPr>
      </w:pPr>
      <w:r w:rsidRPr="00921338">
        <w:rPr>
          <w:rFonts w:asciiTheme="minorHAnsi" w:hAnsiTheme="minorHAnsi"/>
          <w:szCs w:val="24"/>
        </w:rPr>
        <w:t xml:space="preserve">Preventing and controlling </w:t>
      </w:r>
      <w:r w:rsidR="002A1AE8" w:rsidRPr="00B6173D">
        <w:rPr>
          <w:rFonts w:asciiTheme="minorHAnsi" w:hAnsiTheme="minorHAnsi"/>
          <w:szCs w:val="24"/>
        </w:rPr>
        <w:t xml:space="preserve">infectious disease </w:t>
      </w:r>
      <w:r w:rsidRPr="00921338">
        <w:rPr>
          <w:rFonts w:asciiTheme="minorHAnsi" w:hAnsiTheme="minorHAnsi"/>
          <w:szCs w:val="24"/>
        </w:rPr>
        <w:t>outbreaks is an important public health activity as there are often social, financial and economic consequences to the individual, communities and the broader economy.</w:t>
      </w:r>
      <w:r w:rsidR="004451F8">
        <w:rPr>
          <w:rFonts w:asciiTheme="minorHAnsi" w:hAnsiTheme="minorHAnsi"/>
          <w:szCs w:val="24"/>
        </w:rPr>
        <w:t xml:space="preserve"> </w:t>
      </w:r>
      <w:r w:rsidRPr="00921338">
        <w:rPr>
          <w:rFonts w:asciiTheme="minorHAnsi" w:hAnsiTheme="minorHAnsi"/>
          <w:szCs w:val="24"/>
        </w:rPr>
        <w:t xml:space="preserve"> Access to timely and accurate information indicating an increase in the number and type of cases of a disease or condition of public health concern is critical </w:t>
      </w:r>
      <w:r w:rsidR="002A1AE8">
        <w:rPr>
          <w:rFonts w:asciiTheme="minorHAnsi" w:hAnsiTheme="minorHAnsi"/>
          <w:szCs w:val="24"/>
        </w:rPr>
        <w:t>in</w:t>
      </w:r>
      <w:r w:rsidRPr="00921338">
        <w:rPr>
          <w:rFonts w:asciiTheme="minorHAnsi" w:hAnsiTheme="minorHAnsi"/>
          <w:szCs w:val="24"/>
        </w:rPr>
        <w:t xml:space="preserve"> recognis</w:t>
      </w:r>
      <w:r w:rsidR="002A1AE8">
        <w:rPr>
          <w:rFonts w:asciiTheme="minorHAnsi" w:hAnsiTheme="minorHAnsi"/>
          <w:szCs w:val="24"/>
        </w:rPr>
        <w:t>ing</w:t>
      </w:r>
      <w:r w:rsidRPr="00921338">
        <w:rPr>
          <w:rFonts w:asciiTheme="minorHAnsi" w:hAnsiTheme="minorHAnsi"/>
          <w:szCs w:val="24"/>
        </w:rPr>
        <w:t xml:space="preserve"> an outbreak, identify</w:t>
      </w:r>
      <w:r w:rsidR="002A1AE8">
        <w:rPr>
          <w:rFonts w:asciiTheme="minorHAnsi" w:hAnsiTheme="minorHAnsi"/>
          <w:szCs w:val="24"/>
        </w:rPr>
        <w:t>ing</w:t>
      </w:r>
      <w:r w:rsidRPr="00921338">
        <w:rPr>
          <w:rFonts w:asciiTheme="minorHAnsi" w:hAnsiTheme="minorHAnsi"/>
          <w:szCs w:val="24"/>
        </w:rPr>
        <w:t xml:space="preserve"> the source of the infection and commenc</w:t>
      </w:r>
      <w:r w:rsidR="002A1AE8">
        <w:rPr>
          <w:rFonts w:asciiTheme="minorHAnsi" w:hAnsiTheme="minorHAnsi"/>
          <w:szCs w:val="24"/>
        </w:rPr>
        <w:t>ing</w:t>
      </w:r>
      <w:r w:rsidRPr="00921338">
        <w:rPr>
          <w:rFonts w:asciiTheme="minorHAnsi" w:hAnsiTheme="minorHAnsi"/>
          <w:szCs w:val="24"/>
        </w:rPr>
        <w:t xml:space="preserve"> necessary action to reduce further possible transmission and minimise negative impacts. </w:t>
      </w:r>
    </w:p>
    <w:p w:rsidR="003E7EAB" w:rsidRDefault="003E7EAB">
      <w:pPr>
        <w:rPr>
          <w:rFonts w:eastAsia="Times" w:cs="Times New Roman"/>
          <w:szCs w:val="24"/>
        </w:rPr>
      </w:pPr>
      <w:r>
        <w:rPr>
          <w:szCs w:val="24"/>
        </w:rPr>
        <w:br w:type="page"/>
      </w:r>
    </w:p>
    <w:p w:rsidR="004451F8" w:rsidRDefault="008F4F64" w:rsidP="004451F8">
      <w:pPr>
        <w:pStyle w:val="DHSNumberText"/>
        <w:numPr>
          <w:ilvl w:val="0"/>
          <w:numId w:val="0"/>
        </w:numPr>
        <w:rPr>
          <w:rFonts w:asciiTheme="minorHAnsi" w:hAnsiTheme="minorHAnsi"/>
          <w:szCs w:val="24"/>
        </w:rPr>
      </w:pPr>
      <w:r w:rsidRPr="00921338">
        <w:rPr>
          <w:rFonts w:asciiTheme="minorHAnsi" w:hAnsiTheme="minorHAnsi"/>
          <w:szCs w:val="24"/>
        </w:rPr>
        <w:lastRenderedPageBreak/>
        <w:t>Victoria’s public health reference laboratories are a critical service provider in the state’s surveillance activities for identifying and confirming the presence and characteristics of pathogenic microbes of public health importance.</w:t>
      </w:r>
      <w:r w:rsidR="008B4939">
        <w:rPr>
          <w:rFonts w:asciiTheme="minorHAnsi" w:hAnsiTheme="minorHAnsi"/>
          <w:szCs w:val="24"/>
        </w:rPr>
        <w:t xml:space="preserve">  </w:t>
      </w:r>
      <w:r w:rsidR="002A1AE8">
        <w:rPr>
          <w:rFonts w:asciiTheme="minorHAnsi" w:hAnsiTheme="minorHAnsi"/>
          <w:szCs w:val="24"/>
        </w:rPr>
        <w:t>A</w:t>
      </w:r>
      <w:r w:rsidRPr="00921338">
        <w:rPr>
          <w:rFonts w:asciiTheme="minorHAnsi" w:hAnsiTheme="minorHAnsi"/>
          <w:szCs w:val="24"/>
        </w:rPr>
        <w:t xml:space="preserve">n array of laboratory-based microbiological assays </w:t>
      </w:r>
      <w:r w:rsidR="002A1AE8">
        <w:rPr>
          <w:rFonts w:asciiTheme="minorHAnsi" w:hAnsiTheme="minorHAnsi"/>
          <w:szCs w:val="24"/>
        </w:rPr>
        <w:t>is</w:t>
      </w:r>
      <w:r w:rsidRPr="00921338">
        <w:rPr>
          <w:rFonts w:asciiTheme="minorHAnsi" w:hAnsiTheme="minorHAnsi"/>
          <w:szCs w:val="24"/>
        </w:rPr>
        <w:t xml:space="preserve"> utilised</w:t>
      </w:r>
      <w:r w:rsidR="002A1AE8">
        <w:rPr>
          <w:rFonts w:asciiTheme="minorHAnsi" w:hAnsiTheme="minorHAnsi"/>
          <w:szCs w:val="24"/>
        </w:rPr>
        <w:t xml:space="preserve"> to identify and characterise pathogenic organisms</w:t>
      </w:r>
      <w:r w:rsidRPr="00921338">
        <w:rPr>
          <w:rFonts w:asciiTheme="minorHAnsi" w:hAnsiTheme="minorHAnsi"/>
          <w:szCs w:val="24"/>
        </w:rPr>
        <w:t xml:space="preserve">. </w:t>
      </w:r>
      <w:r w:rsidR="002A1AE8">
        <w:rPr>
          <w:rFonts w:asciiTheme="minorHAnsi" w:hAnsiTheme="minorHAnsi"/>
          <w:szCs w:val="24"/>
        </w:rPr>
        <w:t>However, w</w:t>
      </w:r>
      <w:r w:rsidRPr="00921338">
        <w:rPr>
          <w:rFonts w:asciiTheme="minorHAnsi" w:hAnsiTheme="minorHAnsi"/>
          <w:szCs w:val="24"/>
        </w:rPr>
        <w:t xml:space="preserve">hile traditional </w:t>
      </w:r>
      <w:r w:rsidR="002A1AE8">
        <w:rPr>
          <w:rFonts w:asciiTheme="minorHAnsi" w:hAnsiTheme="minorHAnsi"/>
          <w:szCs w:val="24"/>
        </w:rPr>
        <w:t xml:space="preserve">assay </w:t>
      </w:r>
      <w:r w:rsidRPr="00921338">
        <w:rPr>
          <w:rFonts w:asciiTheme="minorHAnsi" w:hAnsiTheme="minorHAnsi"/>
          <w:szCs w:val="24"/>
        </w:rPr>
        <w:t xml:space="preserve">methods have been sufficient to date, the advancement of rapid, low-cost genomic sequencing technologies </w:t>
      </w:r>
      <w:r w:rsidR="008A5170">
        <w:rPr>
          <w:rFonts w:asciiTheme="minorHAnsi" w:hAnsiTheme="minorHAnsi"/>
          <w:szCs w:val="24"/>
        </w:rPr>
        <w:t>is</w:t>
      </w:r>
      <w:r w:rsidRPr="00921338">
        <w:rPr>
          <w:rFonts w:asciiTheme="minorHAnsi" w:hAnsiTheme="minorHAnsi"/>
          <w:szCs w:val="24"/>
        </w:rPr>
        <w:t xml:space="preserve"> transforming public health globally.</w:t>
      </w:r>
    </w:p>
    <w:p w:rsidR="00D9369C" w:rsidRDefault="00D9369C" w:rsidP="004451F8">
      <w:pPr>
        <w:pStyle w:val="DHSNumberText"/>
        <w:numPr>
          <w:ilvl w:val="0"/>
          <w:numId w:val="0"/>
        </w:numPr>
        <w:rPr>
          <w:rFonts w:asciiTheme="minorHAnsi" w:hAnsiTheme="minorHAnsi"/>
          <w:szCs w:val="24"/>
        </w:rPr>
      </w:pPr>
      <w:r>
        <w:rPr>
          <w:rFonts w:asciiTheme="minorHAnsi" w:hAnsiTheme="minorHAnsi"/>
          <w:szCs w:val="24"/>
        </w:rPr>
        <w:t xml:space="preserve">In addition, rapid identification </w:t>
      </w:r>
      <w:r w:rsidR="00592C77">
        <w:rPr>
          <w:rFonts w:asciiTheme="minorHAnsi" w:hAnsiTheme="minorHAnsi"/>
          <w:szCs w:val="24"/>
        </w:rPr>
        <w:t xml:space="preserve">and genetic characterisation </w:t>
      </w:r>
      <w:r>
        <w:rPr>
          <w:rFonts w:asciiTheme="minorHAnsi" w:hAnsiTheme="minorHAnsi"/>
          <w:szCs w:val="24"/>
        </w:rPr>
        <w:t xml:space="preserve">of micro-organisms facilitates better targeting of </w:t>
      </w:r>
      <w:r w:rsidR="002A1AE8">
        <w:rPr>
          <w:rFonts w:asciiTheme="minorHAnsi" w:hAnsiTheme="minorHAnsi"/>
          <w:szCs w:val="24"/>
        </w:rPr>
        <w:t xml:space="preserve">appropriate </w:t>
      </w:r>
      <w:r>
        <w:rPr>
          <w:rFonts w:asciiTheme="minorHAnsi" w:hAnsiTheme="minorHAnsi"/>
          <w:szCs w:val="24"/>
        </w:rPr>
        <w:t>antibiotic use.  While no</w:t>
      </w:r>
      <w:r w:rsidR="00592C77">
        <w:rPr>
          <w:rFonts w:asciiTheme="minorHAnsi" w:hAnsiTheme="minorHAnsi"/>
          <w:szCs w:val="24"/>
        </w:rPr>
        <w:t>t</w:t>
      </w:r>
      <w:r>
        <w:rPr>
          <w:rFonts w:asciiTheme="minorHAnsi" w:hAnsiTheme="minorHAnsi"/>
          <w:szCs w:val="24"/>
        </w:rPr>
        <w:t xml:space="preserve"> only improving treatment responsiveness, </w:t>
      </w:r>
      <w:r w:rsidR="002A1AE8">
        <w:rPr>
          <w:rFonts w:asciiTheme="minorHAnsi" w:hAnsiTheme="minorHAnsi"/>
          <w:szCs w:val="24"/>
        </w:rPr>
        <w:t>genomic sequencing</w:t>
      </w:r>
      <w:r>
        <w:rPr>
          <w:rFonts w:asciiTheme="minorHAnsi" w:hAnsiTheme="minorHAnsi"/>
          <w:szCs w:val="24"/>
        </w:rPr>
        <w:t xml:space="preserve"> also reduces the potential for development of antibiotic</w:t>
      </w:r>
      <w:r w:rsidR="002A1AE8">
        <w:rPr>
          <w:rFonts w:asciiTheme="minorHAnsi" w:hAnsiTheme="minorHAnsi"/>
          <w:szCs w:val="24"/>
        </w:rPr>
        <w:t>-</w:t>
      </w:r>
      <w:r>
        <w:rPr>
          <w:rFonts w:asciiTheme="minorHAnsi" w:hAnsiTheme="minorHAnsi"/>
          <w:szCs w:val="24"/>
        </w:rPr>
        <w:t>resistant strains.</w:t>
      </w:r>
    </w:p>
    <w:p w:rsidR="003F1288" w:rsidRDefault="003F1288" w:rsidP="004451F8">
      <w:pPr>
        <w:pStyle w:val="DHSNumberText"/>
        <w:numPr>
          <w:ilvl w:val="0"/>
          <w:numId w:val="0"/>
        </w:numPr>
        <w:rPr>
          <w:rFonts w:asciiTheme="minorHAnsi" w:hAnsiTheme="minorHAnsi"/>
          <w:szCs w:val="24"/>
        </w:rPr>
      </w:pPr>
      <w:r>
        <w:rPr>
          <w:rFonts w:asciiTheme="minorHAnsi" w:hAnsiTheme="minorHAnsi"/>
          <w:szCs w:val="24"/>
        </w:rPr>
        <w:t>The impact</w:t>
      </w:r>
      <w:r w:rsidR="00D45EFE">
        <w:rPr>
          <w:rFonts w:asciiTheme="minorHAnsi" w:hAnsiTheme="minorHAnsi"/>
          <w:szCs w:val="24"/>
        </w:rPr>
        <w:t xml:space="preserve"> of microbial genetics and genomics</w:t>
      </w:r>
      <w:r>
        <w:rPr>
          <w:rFonts w:asciiTheme="minorHAnsi" w:hAnsiTheme="minorHAnsi"/>
          <w:szCs w:val="24"/>
        </w:rPr>
        <w:t xml:space="preserve"> on health</w:t>
      </w:r>
      <w:r w:rsidR="00B80949">
        <w:rPr>
          <w:rFonts w:asciiTheme="minorHAnsi" w:hAnsiTheme="minorHAnsi"/>
          <w:szCs w:val="24"/>
        </w:rPr>
        <w:t>care</w:t>
      </w:r>
      <w:r>
        <w:rPr>
          <w:rFonts w:asciiTheme="minorHAnsi" w:hAnsiTheme="minorHAnsi"/>
          <w:szCs w:val="24"/>
        </w:rPr>
        <w:t xml:space="preserve"> can be summarised as follows</w:t>
      </w:r>
      <w:r w:rsidR="007E2EBD">
        <w:rPr>
          <w:rStyle w:val="FootnoteReference"/>
          <w:rFonts w:asciiTheme="minorHAnsi" w:hAnsiTheme="minorHAnsi"/>
          <w:szCs w:val="24"/>
        </w:rPr>
        <w:footnoteReference w:id="2"/>
      </w:r>
      <w:r>
        <w:rPr>
          <w:rFonts w:asciiTheme="minorHAnsi" w:hAnsiTheme="minorHAnsi"/>
          <w:szCs w:val="24"/>
        </w:rPr>
        <w:t>:</w:t>
      </w:r>
    </w:p>
    <w:tbl>
      <w:tblPr>
        <w:tblStyle w:val="TableGrid"/>
        <w:tblW w:w="0" w:type="auto"/>
        <w:tblInd w:w="250" w:type="dxa"/>
        <w:tblLook w:val="04A0" w:firstRow="1" w:lastRow="0" w:firstColumn="1" w:lastColumn="0" w:noHBand="0" w:noVBand="1"/>
      </w:tblPr>
      <w:tblGrid>
        <w:gridCol w:w="2518"/>
        <w:gridCol w:w="2126"/>
        <w:gridCol w:w="2835"/>
      </w:tblGrid>
      <w:tr w:rsidR="003F1288" w:rsidRPr="007E2EBD" w:rsidTr="009376BD">
        <w:tc>
          <w:tcPr>
            <w:tcW w:w="2518" w:type="dxa"/>
          </w:tcPr>
          <w:p w:rsidR="003F1288" w:rsidRPr="00921338" w:rsidRDefault="008F4F64" w:rsidP="004451F8">
            <w:pPr>
              <w:pStyle w:val="DHSNumberText"/>
              <w:numPr>
                <w:ilvl w:val="0"/>
                <w:numId w:val="0"/>
              </w:numPr>
              <w:rPr>
                <w:rFonts w:asciiTheme="minorHAnsi" w:hAnsiTheme="minorHAnsi"/>
                <w:b/>
                <w:szCs w:val="24"/>
              </w:rPr>
            </w:pPr>
            <w:r w:rsidRPr="00921338">
              <w:rPr>
                <w:rFonts w:asciiTheme="minorHAnsi" w:hAnsiTheme="minorHAnsi"/>
                <w:b/>
                <w:szCs w:val="24"/>
              </w:rPr>
              <w:t>Activity</w:t>
            </w:r>
          </w:p>
        </w:tc>
        <w:tc>
          <w:tcPr>
            <w:tcW w:w="2126" w:type="dxa"/>
          </w:tcPr>
          <w:p w:rsidR="003F1288" w:rsidRPr="00921338" w:rsidRDefault="008F4F64" w:rsidP="004451F8">
            <w:pPr>
              <w:pStyle w:val="DHSNumberText"/>
              <w:numPr>
                <w:ilvl w:val="0"/>
                <w:numId w:val="0"/>
              </w:numPr>
              <w:rPr>
                <w:rFonts w:asciiTheme="minorHAnsi" w:hAnsiTheme="minorHAnsi"/>
                <w:b/>
                <w:szCs w:val="24"/>
              </w:rPr>
            </w:pPr>
            <w:r w:rsidRPr="00921338">
              <w:rPr>
                <w:rFonts w:asciiTheme="minorHAnsi" w:hAnsiTheme="minorHAnsi"/>
                <w:b/>
                <w:szCs w:val="24"/>
              </w:rPr>
              <w:t>Patient care</w:t>
            </w:r>
          </w:p>
        </w:tc>
        <w:tc>
          <w:tcPr>
            <w:tcW w:w="2835" w:type="dxa"/>
          </w:tcPr>
          <w:p w:rsidR="003F1288" w:rsidRPr="00921338" w:rsidRDefault="008F4F64" w:rsidP="004451F8">
            <w:pPr>
              <w:pStyle w:val="DHSNumberText"/>
              <w:numPr>
                <w:ilvl w:val="0"/>
                <w:numId w:val="0"/>
              </w:numPr>
              <w:rPr>
                <w:rFonts w:asciiTheme="minorHAnsi" w:hAnsiTheme="minorHAnsi"/>
                <w:b/>
                <w:szCs w:val="24"/>
              </w:rPr>
            </w:pPr>
            <w:r w:rsidRPr="00921338">
              <w:rPr>
                <w:rFonts w:asciiTheme="minorHAnsi" w:hAnsiTheme="minorHAnsi"/>
                <w:b/>
                <w:szCs w:val="24"/>
              </w:rPr>
              <w:t>Public health</w:t>
            </w:r>
          </w:p>
        </w:tc>
      </w:tr>
      <w:tr w:rsidR="003F1288" w:rsidTr="009376BD">
        <w:tc>
          <w:tcPr>
            <w:tcW w:w="2518" w:type="dxa"/>
          </w:tcPr>
          <w:p w:rsidR="003F1288" w:rsidRDefault="003F1288" w:rsidP="004451F8">
            <w:pPr>
              <w:pStyle w:val="DHSNumberText"/>
              <w:numPr>
                <w:ilvl w:val="0"/>
                <w:numId w:val="0"/>
              </w:numPr>
              <w:rPr>
                <w:rFonts w:asciiTheme="minorHAnsi" w:hAnsiTheme="minorHAnsi"/>
                <w:szCs w:val="24"/>
              </w:rPr>
            </w:pPr>
            <w:r>
              <w:rPr>
                <w:rFonts w:asciiTheme="minorHAnsi" w:hAnsiTheme="minorHAnsi"/>
                <w:szCs w:val="24"/>
              </w:rPr>
              <w:t>Pathogen identification</w:t>
            </w:r>
          </w:p>
        </w:tc>
        <w:tc>
          <w:tcPr>
            <w:tcW w:w="2126" w:type="dxa"/>
          </w:tcPr>
          <w:p w:rsidR="003F1288" w:rsidRDefault="003F1288" w:rsidP="004451F8">
            <w:pPr>
              <w:pStyle w:val="DHSNumberText"/>
              <w:numPr>
                <w:ilvl w:val="0"/>
                <w:numId w:val="0"/>
              </w:numPr>
              <w:rPr>
                <w:rFonts w:asciiTheme="minorHAnsi" w:hAnsiTheme="minorHAnsi"/>
                <w:szCs w:val="24"/>
              </w:rPr>
            </w:pPr>
            <w:r>
              <w:rPr>
                <w:rFonts w:asciiTheme="minorHAnsi" w:hAnsiTheme="minorHAnsi"/>
                <w:szCs w:val="24"/>
              </w:rPr>
              <w:t>Diagnosis</w:t>
            </w:r>
          </w:p>
        </w:tc>
        <w:tc>
          <w:tcPr>
            <w:tcW w:w="2835" w:type="dxa"/>
          </w:tcPr>
          <w:p w:rsidR="003F1288" w:rsidRDefault="003F1288" w:rsidP="004451F8">
            <w:pPr>
              <w:pStyle w:val="DHSNumberText"/>
              <w:numPr>
                <w:ilvl w:val="0"/>
                <w:numId w:val="0"/>
              </w:numPr>
              <w:rPr>
                <w:rFonts w:asciiTheme="minorHAnsi" w:hAnsiTheme="minorHAnsi"/>
                <w:szCs w:val="24"/>
              </w:rPr>
            </w:pPr>
            <w:r>
              <w:rPr>
                <w:rFonts w:asciiTheme="minorHAnsi" w:hAnsiTheme="minorHAnsi"/>
                <w:szCs w:val="24"/>
              </w:rPr>
              <w:t>Outbreak detection</w:t>
            </w:r>
          </w:p>
        </w:tc>
      </w:tr>
      <w:tr w:rsidR="003F1288" w:rsidTr="009376BD">
        <w:tc>
          <w:tcPr>
            <w:tcW w:w="2518" w:type="dxa"/>
          </w:tcPr>
          <w:p w:rsidR="003F1288" w:rsidRDefault="003F1288" w:rsidP="004451F8">
            <w:pPr>
              <w:pStyle w:val="DHSNumberText"/>
              <w:numPr>
                <w:ilvl w:val="0"/>
                <w:numId w:val="0"/>
              </w:numPr>
              <w:rPr>
                <w:rFonts w:asciiTheme="minorHAnsi" w:hAnsiTheme="minorHAnsi"/>
                <w:szCs w:val="24"/>
              </w:rPr>
            </w:pPr>
            <w:r>
              <w:rPr>
                <w:rFonts w:asciiTheme="minorHAnsi" w:hAnsiTheme="minorHAnsi"/>
                <w:szCs w:val="24"/>
              </w:rPr>
              <w:t>Antibiotic selection</w:t>
            </w:r>
          </w:p>
        </w:tc>
        <w:tc>
          <w:tcPr>
            <w:tcW w:w="2126" w:type="dxa"/>
          </w:tcPr>
          <w:p w:rsidR="003F1288" w:rsidRDefault="00693A30" w:rsidP="009376BD">
            <w:pPr>
              <w:pStyle w:val="DHSNumberText"/>
              <w:numPr>
                <w:ilvl w:val="0"/>
                <w:numId w:val="0"/>
              </w:numPr>
              <w:rPr>
                <w:rFonts w:asciiTheme="minorHAnsi" w:hAnsiTheme="minorHAnsi"/>
                <w:szCs w:val="24"/>
              </w:rPr>
            </w:pPr>
            <w:r>
              <w:rPr>
                <w:rFonts w:asciiTheme="minorHAnsi" w:hAnsiTheme="minorHAnsi"/>
                <w:szCs w:val="24"/>
              </w:rPr>
              <w:t>Proper</w:t>
            </w:r>
            <w:r w:rsidR="003F1288">
              <w:rPr>
                <w:rFonts w:asciiTheme="minorHAnsi" w:hAnsiTheme="minorHAnsi"/>
                <w:szCs w:val="24"/>
              </w:rPr>
              <w:t xml:space="preserve"> treatment</w:t>
            </w:r>
          </w:p>
        </w:tc>
        <w:tc>
          <w:tcPr>
            <w:tcW w:w="2835" w:type="dxa"/>
          </w:tcPr>
          <w:p w:rsidR="003F1288" w:rsidRDefault="003F1288" w:rsidP="004451F8">
            <w:pPr>
              <w:pStyle w:val="DHSNumberText"/>
              <w:numPr>
                <w:ilvl w:val="0"/>
                <w:numId w:val="0"/>
              </w:numPr>
              <w:rPr>
                <w:rFonts w:asciiTheme="minorHAnsi" w:hAnsiTheme="minorHAnsi"/>
                <w:szCs w:val="24"/>
              </w:rPr>
            </w:pPr>
            <w:r>
              <w:rPr>
                <w:rFonts w:asciiTheme="minorHAnsi" w:hAnsiTheme="minorHAnsi"/>
                <w:szCs w:val="24"/>
              </w:rPr>
              <w:t>Effective antibiotic use</w:t>
            </w:r>
          </w:p>
        </w:tc>
      </w:tr>
      <w:tr w:rsidR="003F1288" w:rsidTr="009376BD">
        <w:tc>
          <w:tcPr>
            <w:tcW w:w="2518" w:type="dxa"/>
          </w:tcPr>
          <w:p w:rsidR="003F1288" w:rsidRDefault="007E2EBD" w:rsidP="004451F8">
            <w:pPr>
              <w:pStyle w:val="DHSNumberText"/>
              <w:numPr>
                <w:ilvl w:val="0"/>
                <w:numId w:val="0"/>
              </w:numPr>
              <w:rPr>
                <w:rFonts w:asciiTheme="minorHAnsi" w:hAnsiTheme="minorHAnsi"/>
                <w:szCs w:val="24"/>
              </w:rPr>
            </w:pPr>
            <w:r>
              <w:rPr>
                <w:rFonts w:asciiTheme="minorHAnsi" w:hAnsiTheme="minorHAnsi"/>
                <w:szCs w:val="24"/>
              </w:rPr>
              <w:t>Vaccine development</w:t>
            </w:r>
          </w:p>
        </w:tc>
        <w:tc>
          <w:tcPr>
            <w:tcW w:w="2126" w:type="dxa"/>
          </w:tcPr>
          <w:p w:rsidR="003F1288" w:rsidRDefault="007E2EBD" w:rsidP="004451F8">
            <w:pPr>
              <w:pStyle w:val="DHSNumberText"/>
              <w:numPr>
                <w:ilvl w:val="0"/>
                <w:numId w:val="0"/>
              </w:numPr>
              <w:rPr>
                <w:rFonts w:asciiTheme="minorHAnsi" w:hAnsiTheme="minorHAnsi"/>
                <w:szCs w:val="24"/>
              </w:rPr>
            </w:pPr>
            <w:r>
              <w:rPr>
                <w:rFonts w:asciiTheme="minorHAnsi" w:hAnsiTheme="minorHAnsi"/>
                <w:szCs w:val="24"/>
              </w:rPr>
              <w:t>Better protection</w:t>
            </w:r>
          </w:p>
        </w:tc>
        <w:tc>
          <w:tcPr>
            <w:tcW w:w="2835" w:type="dxa"/>
          </w:tcPr>
          <w:p w:rsidR="003F1288" w:rsidRDefault="007E2EBD" w:rsidP="004451F8">
            <w:pPr>
              <w:pStyle w:val="DHSNumberText"/>
              <w:numPr>
                <w:ilvl w:val="0"/>
                <w:numId w:val="0"/>
              </w:numPr>
              <w:rPr>
                <w:rFonts w:asciiTheme="minorHAnsi" w:hAnsiTheme="minorHAnsi"/>
                <w:szCs w:val="24"/>
              </w:rPr>
            </w:pPr>
            <w:r>
              <w:rPr>
                <w:rFonts w:asciiTheme="minorHAnsi" w:hAnsiTheme="minorHAnsi"/>
                <w:szCs w:val="24"/>
              </w:rPr>
              <w:t>Reduced burden of disease</w:t>
            </w:r>
          </w:p>
        </w:tc>
      </w:tr>
    </w:tbl>
    <w:p w:rsidR="0054288F" w:rsidRDefault="0054288F" w:rsidP="00921338">
      <w:pPr>
        <w:pStyle w:val="DHSNumberText"/>
        <w:numPr>
          <w:ilvl w:val="0"/>
          <w:numId w:val="0"/>
        </w:numPr>
        <w:spacing w:after="0" w:line="240" w:lineRule="auto"/>
        <w:rPr>
          <w:rFonts w:asciiTheme="minorHAnsi" w:hAnsiTheme="minorHAnsi"/>
          <w:szCs w:val="24"/>
        </w:rPr>
      </w:pPr>
    </w:p>
    <w:p w:rsidR="008F4F64" w:rsidRPr="00921338" w:rsidRDefault="008F4F64" w:rsidP="00921338">
      <w:pPr>
        <w:pStyle w:val="Heading2"/>
        <w:rPr>
          <w:shd w:val="clear" w:color="auto" w:fill="FFFFFF"/>
        </w:rPr>
      </w:pPr>
      <w:bookmarkStart w:id="13" w:name="_Toc458511935"/>
      <w:r w:rsidRPr="00921338">
        <w:rPr>
          <w:shd w:val="clear" w:color="auto" w:fill="FFFFFF"/>
        </w:rPr>
        <w:t>Genomic sequencing</w:t>
      </w:r>
      <w:bookmarkEnd w:id="13"/>
    </w:p>
    <w:p w:rsidR="00CB6C2E" w:rsidRPr="00E0238C" w:rsidRDefault="00CB6C2E" w:rsidP="00083F3D">
      <w:pPr>
        <w:pStyle w:val="DHSNumberText"/>
        <w:numPr>
          <w:ilvl w:val="0"/>
          <w:numId w:val="0"/>
        </w:numPr>
        <w:rPr>
          <w:rFonts w:asciiTheme="minorHAnsi" w:hAnsiTheme="minorHAnsi"/>
          <w:szCs w:val="24"/>
        </w:rPr>
      </w:pPr>
      <w:r w:rsidRPr="00E0238C">
        <w:rPr>
          <w:rFonts w:asciiTheme="minorHAnsi" w:hAnsiTheme="minorHAnsi"/>
          <w:szCs w:val="24"/>
        </w:rPr>
        <w:t xml:space="preserve">The advent of </w:t>
      </w:r>
      <w:r w:rsidR="00A52408">
        <w:rPr>
          <w:rFonts w:asciiTheme="minorHAnsi" w:hAnsiTheme="minorHAnsi"/>
          <w:szCs w:val="24"/>
        </w:rPr>
        <w:t>massively parallel DNA</w:t>
      </w:r>
      <w:r w:rsidRPr="00E0238C">
        <w:rPr>
          <w:rFonts w:asciiTheme="minorHAnsi" w:hAnsiTheme="minorHAnsi"/>
          <w:szCs w:val="24"/>
        </w:rPr>
        <w:t xml:space="preserve"> sequencing, where</w:t>
      </w:r>
      <w:r w:rsidR="009A3C20">
        <w:rPr>
          <w:rFonts w:asciiTheme="minorHAnsi" w:hAnsiTheme="minorHAnsi"/>
          <w:szCs w:val="24"/>
        </w:rPr>
        <w:t xml:space="preserve"> </w:t>
      </w:r>
      <w:r w:rsidR="005010C5">
        <w:rPr>
          <w:rFonts w:asciiTheme="minorHAnsi" w:hAnsiTheme="minorHAnsi"/>
          <w:szCs w:val="24"/>
        </w:rPr>
        <w:t>multiple</w:t>
      </w:r>
      <w:r w:rsidR="009A3C20">
        <w:rPr>
          <w:rFonts w:asciiTheme="minorHAnsi" w:hAnsiTheme="minorHAnsi"/>
          <w:szCs w:val="24"/>
        </w:rPr>
        <w:t xml:space="preserve"> genes or even</w:t>
      </w:r>
      <w:r w:rsidRPr="00E0238C">
        <w:rPr>
          <w:rFonts w:asciiTheme="minorHAnsi" w:hAnsiTheme="minorHAnsi"/>
          <w:szCs w:val="24"/>
        </w:rPr>
        <w:t xml:space="preserve"> whole genomes may be sequenced rapidly in one test, has opened up opportunities for </w:t>
      </w:r>
      <w:r w:rsidR="005010C5">
        <w:rPr>
          <w:rFonts w:asciiTheme="minorHAnsi" w:hAnsiTheme="minorHAnsi"/>
          <w:szCs w:val="24"/>
        </w:rPr>
        <w:t xml:space="preserve">quicker and more accurate diagnosis, </w:t>
      </w:r>
      <w:r w:rsidRPr="00E0238C">
        <w:rPr>
          <w:rFonts w:asciiTheme="minorHAnsi" w:hAnsiTheme="minorHAnsi"/>
          <w:szCs w:val="24"/>
        </w:rPr>
        <w:t xml:space="preserve">better targeted (precision) treatment and rapid identification </w:t>
      </w:r>
      <w:r w:rsidR="008D5775">
        <w:rPr>
          <w:rFonts w:asciiTheme="minorHAnsi" w:hAnsiTheme="minorHAnsi"/>
          <w:szCs w:val="24"/>
        </w:rPr>
        <w:t xml:space="preserve">and </w:t>
      </w:r>
      <w:r w:rsidR="00300B9F">
        <w:rPr>
          <w:rFonts w:asciiTheme="minorHAnsi" w:hAnsiTheme="minorHAnsi"/>
          <w:szCs w:val="24"/>
        </w:rPr>
        <w:t>characterisation</w:t>
      </w:r>
      <w:r w:rsidR="00300B9F" w:rsidRPr="00E0238C">
        <w:rPr>
          <w:rFonts w:asciiTheme="minorHAnsi" w:hAnsiTheme="minorHAnsi"/>
          <w:szCs w:val="24"/>
        </w:rPr>
        <w:t xml:space="preserve"> </w:t>
      </w:r>
      <w:r w:rsidRPr="00E0238C">
        <w:rPr>
          <w:rFonts w:asciiTheme="minorHAnsi" w:hAnsiTheme="minorHAnsi"/>
          <w:szCs w:val="24"/>
        </w:rPr>
        <w:t xml:space="preserve">of </w:t>
      </w:r>
      <w:r w:rsidR="00D51FBD">
        <w:rPr>
          <w:rFonts w:asciiTheme="minorHAnsi" w:hAnsiTheme="minorHAnsi"/>
          <w:szCs w:val="24"/>
        </w:rPr>
        <w:t xml:space="preserve">pathogenic </w:t>
      </w:r>
      <w:r w:rsidRPr="00E0238C">
        <w:rPr>
          <w:rFonts w:asciiTheme="minorHAnsi" w:hAnsiTheme="minorHAnsi"/>
          <w:szCs w:val="24"/>
        </w:rPr>
        <w:t xml:space="preserve">organisms.  It has also highlighted issues in </w:t>
      </w:r>
      <w:r w:rsidR="00262E6B" w:rsidRPr="00E0238C">
        <w:rPr>
          <w:rFonts w:asciiTheme="minorHAnsi" w:hAnsiTheme="minorHAnsi"/>
          <w:szCs w:val="24"/>
        </w:rPr>
        <w:t xml:space="preserve">data management (‘big data’), workforce roles and responsibilities and health service system </w:t>
      </w:r>
      <w:r w:rsidR="009A2FBD">
        <w:rPr>
          <w:rFonts w:asciiTheme="minorHAnsi" w:hAnsiTheme="minorHAnsi"/>
          <w:szCs w:val="24"/>
        </w:rPr>
        <w:t>capacity (clinical and laboratory)</w:t>
      </w:r>
      <w:r w:rsidR="00262E6B" w:rsidRPr="00E0238C">
        <w:rPr>
          <w:rFonts w:asciiTheme="minorHAnsi" w:hAnsiTheme="minorHAnsi"/>
          <w:szCs w:val="24"/>
        </w:rPr>
        <w:t>.</w:t>
      </w:r>
    </w:p>
    <w:p w:rsidR="00E961B5" w:rsidRPr="00E0238C" w:rsidRDefault="00CC0EC0" w:rsidP="00E961B5">
      <w:pPr>
        <w:pStyle w:val="DHSNumberText"/>
        <w:numPr>
          <w:ilvl w:val="0"/>
          <w:numId w:val="0"/>
        </w:numPr>
        <w:rPr>
          <w:rFonts w:asciiTheme="minorHAnsi" w:hAnsiTheme="minorHAnsi"/>
          <w:szCs w:val="24"/>
        </w:rPr>
      </w:pPr>
      <w:r>
        <w:rPr>
          <w:rFonts w:asciiTheme="minorHAnsi" w:hAnsiTheme="minorHAnsi"/>
          <w:szCs w:val="24"/>
        </w:rPr>
        <w:t>A</w:t>
      </w:r>
      <w:r w:rsidR="00E961B5" w:rsidRPr="00E0238C">
        <w:rPr>
          <w:rFonts w:asciiTheme="minorHAnsi" w:hAnsiTheme="minorHAnsi"/>
          <w:szCs w:val="24"/>
        </w:rPr>
        <w:t xml:space="preserve">lliances are </w:t>
      </w:r>
      <w:r>
        <w:rPr>
          <w:rFonts w:asciiTheme="minorHAnsi" w:hAnsiTheme="minorHAnsi"/>
          <w:szCs w:val="24"/>
        </w:rPr>
        <w:t>being established</w:t>
      </w:r>
      <w:r w:rsidRPr="00E0238C">
        <w:rPr>
          <w:rFonts w:asciiTheme="minorHAnsi" w:hAnsiTheme="minorHAnsi"/>
          <w:szCs w:val="24"/>
        </w:rPr>
        <w:t xml:space="preserve"> </w:t>
      </w:r>
      <w:r w:rsidR="00E961B5" w:rsidRPr="00E0238C">
        <w:rPr>
          <w:rFonts w:asciiTheme="minorHAnsi" w:hAnsiTheme="minorHAnsi"/>
          <w:szCs w:val="24"/>
        </w:rPr>
        <w:t xml:space="preserve">locally, nationally and internationally, with many Victorian </w:t>
      </w:r>
      <w:r w:rsidR="00386A0F" w:rsidRPr="00E0238C">
        <w:rPr>
          <w:rFonts w:asciiTheme="minorHAnsi" w:hAnsiTheme="minorHAnsi"/>
          <w:szCs w:val="24"/>
        </w:rPr>
        <w:t>agencies</w:t>
      </w:r>
      <w:r w:rsidR="00E961B5" w:rsidRPr="00E0238C">
        <w:rPr>
          <w:rFonts w:asciiTheme="minorHAnsi" w:hAnsiTheme="minorHAnsi"/>
          <w:szCs w:val="24"/>
        </w:rPr>
        <w:t>, researchers</w:t>
      </w:r>
      <w:r w:rsidR="001563D4">
        <w:rPr>
          <w:rFonts w:asciiTheme="minorHAnsi" w:hAnsiTheme="minorHAnsi"/>
          <w:szCs w:val="24"/>
        </w:rPr>
        <w:t>,</w:t>
      </w:r>
      <w:r w:rsidR="00E961B5" w:rsidRPr="00E0238C">
        <w:rPr>
          <w:rFonts w:asciiTheme="minorHAnsi" w:hAnsiTheme="minorHAnsi"/>
          <w:szCs w:val="24"/>
        </w:rPr>
        <w:t xml:space="preserve"> clinicians </w:t>
      </w:r>
      <w:r w:rsidR="001563D4">
        <w:rPr>
          <w:rFonts w:asciiTheme="minorHAnsi" w:hAnsiTheme="minorHAnsi"/>
          <w:szCs w:val="24"/>
        </w:rPr>
        <w:t xml:space="preserve">and public health practitioners </w:t>
      </w:r>
      <w:r w:rsidR="00E961B5" w:rsidRPr="00E0238C">
        <w:rPr>
          <w:rFonts w:asciiTheme="minorHAnsi" w:hAnsiTheme="minorHAnsi"/>
          <w:szCs w:val="24"/>
        </w:rPr>
        <w:t>actively involved in discovery, translation and sharing of genomic information.</w:t>
      </w:r>
    </w:p>
    <w:p w:rsidR="00E961B5" w:rsidRDefault="00E961B5" w:rsidP="00E961B5">
      <w:pPr>
        <w:pStyle w:val="DHSNumberText"/>
        <w:numPr>
          <w:ilvl w:val="0"/>
          <w:numId w:val="0"/>
        </w:numPr>
        <w:rPr>
          <w:rFonts w:asciiTheme="minorHAnsi" w:hAnsiTheme="minorHAnsi"/>
          <w:szCs w:val="24"/>
        </w:rPr>
      </w:pPr>
      <w:r w:rsidRPr="00E0238C">
        <w:rPr>
          <w:rFonts w:asciiTheme="minorHAnsi" w:hAnsiTheme="minorHAnsi"/>
          <w:szCs w:val="24"/>
        </w:rPr>
        <w:t xml:space="preserve">In parallel, </w:t>
      </w:r>
      <w:r w:rsidR="00386A0F" w:rsidRPr="00E0238C">
        <w:rPr>
          <w:rFonts w:asciiTheme="minorHAnsi" w:hAnsiTheme="minorHAnsi"/>
          <w:szCs w:val="24"/>
        </w:rPr>
        <w:t xml:space="preserve">genomic sequencing </w:t>
      </w:r>
      <w:r w:rsidR="00636AF8">
        <w:rPr>
          <w:rFonts w:asciiTheme="minorHAnsi" w:hAnsiTheme="minorHAnsi"/>
          <w:szCs w:val="24"/>
        </w:rPr>
        <w:t xml:space="preserve">that provides information on topics such as ancestry and wellbeing </w:t>
      </w:r>
      <w:r w:rsidR="00386A0F" w:rsidRPr="00E0238C">
        <w:rPr>
          <w:rFonts w:asciiTheme="minorHAnsi" w:hAnsiTheme="minorHAnsi"/>
          <w:szCs w:val="24"/>
        </w:rPr>
        <w:t>is</w:t>
      </w:r>
      <w:r w:rsidRPr="00E0238C">
        <w:rPr>
          <w:rFonts w:asciiTheme="minorHAnsi" w:hAnsiTheme="minorHAnsi"/>
          <w:szCs w:val="24"/>
        </w:rPr>
        <w:t xml:space="preserve"> being </w:t>
      </w:r>
      <w:r w:rsidR="00386A0F" w:rsidRPr="00E0238C">
        <w:rPr>
          <w:rFonts w:asciiTheme="minorHAnsi" w:hAnsiTheme="minorHAnsi"/>
          <w:szCs w:val="24"/>
        </w:rPr>
        <w:t xml:space="preserve">marketed </w:t>
      </w:r>
      <w:r w:rsidRPr="00E0238C">
        <w:rPr>
          <w:rFonts w:asciiTheme="minorHAnsi" w:hAnsiTheme="minorHAnsi"/>
          <w:szCs w:val="24"/>
        </w:rPr>
        <w:t xml:space="preserve">directly to the community.  </w:t>
      </w:r>
      <w:r w:rsidR="00386A0F" w:rsidRPr="00E0238C">
        <w:rPr>
          <w:rFonts w:asciiTheme="minorHAnsi" w:hAnsiTheme="minorHAnsi"/>
          <w:szCs w:val="24"/>
        </w:rPr>
        <w:t xml:space="preserve">This ‘consumer-driven genomics’ </w:t>
      </w:r>
      <w:r w:rsidRPr="00E0238C">
        <w:rPr>
          <w:rFonts w:asciiTheme="minorHAnsi" w:hAnsiTheme="minorHAnsi"/>
          <w:szCs w:val="24"/>
        </w:rPr>
        <w:t>raise</w:t>
      </w:r>
      <w:r w:rsidR="00386A0F" w:rsidRPr="00E0238C">
        <w:rPr>
          <w:rFonts w:asciiTheme="minorHAnsi" w:hAnsiTheme="minorHAnsi"/>
          <w:szCs w:val="24"/>
        </w:rPr>
        <w:t>s</w:t>
      </w:r>
      <w:r w:rsidRPr="00E0238C">
        <w:rPr>
          <w:rFonts w:asciiTheme="minorHAnsi" w:hAnsiTheme="minorHAnsi"/>
          <w:szCs w:val="24"/>
        </w:rPr>
        <w:t xml:space="preserve"> issues </w:t>
      </w:r>
      <w:r w:rsidR="008927B0" w:rsidRPr="00E0238C">
        <w:rPr>
          <w:rFonts w:asciiTheme="minorHAnsi" w:hAnsiTheme="minorHAnsi"/>
          <w:szCs w:val="24"/>
        </w:rPr>
        <w:t xml:space="preserve">not only </w:t>
      </w:r>
      <w:r w:rsidRPr="00E0238C">
        <w:rPr>
          <w:rFonts w:asciiTheme="minorHAnsi" w:hAnsiTheme="minorHAnsi"/>
          <w:szCs w:val="24"/>
        </w:rPr>
        <w:t xml:space="preserve">about the quality of information provided </w:t>
      </w:r>
      <w:r w:rsidR="008927B0" w:rsidRPr="00E0238C">
        <w:rPr>
          <w:rFonts w:asciiTheme="minorHAnsi" w:hAnsiTheme="minorHAnsi"/>
          <w:szCs w:val="24"/>
        </w:rPr>
        <w:t xml:space="preserve">but also about </w:t>
      </w:r>
      <w:r w:rsidRPr="00E0238C">
        <w:rPr>
          <w:rFonts w:asciiTheme="minorHAnsi" w:hAnsiTheme="minorHAnsi"/>
          <w:szCs w:val="24"/>
        </w:rPr>
        <w:t>the management of personal information</w:t>
      </w:r>
      <w:r w:rsidR="008927B0" w:rsidRPr="00E0238C">
        <w:rPr>
          <w:rFonts w:asciiTheme="minorHAnsi" w:hAnsiTheme="minorHAnsi"/>
          <w:szCs w:val="24"/>
        </w:rPr>
        <w:t xml:space="preserve">, </w:t>
      </w:r>
      <w:r w:rsidR="00CA1C5C">
        <w:rPr>
          <w:rFonts w:asciiTheme="minorHAnsi" w:hAnsiTheme="minorHAnsi"/>
          <w:szCs w:val="24"/>
        </w:rPr>
        <w:t>both of which</w:t>
      </w:r>
      <w:r w:rsidR="00CA1C5C" w:rsidRPr="00E0238C">
        <w:rPr>
          <w:rFonts w:asciiTheme="minorHAnsi" w:hAnsiTheme="minorHAnsi"/>
          <w:szCs w:val="24"/>
        </w:rPr>
        <w:t xml:space="preserve"> </w:t>
      </w:r>
      <w:r w:rsidRPr="00E0238C">
        <w:rPr>
          <w:rFonts w:asciiTheme="minorHAnsi" w:hAnsiTheme="minorHAnsi"/>
          <w:szCs w:val="24"/>
        </w:rPr>
        <w:t>ha</w:t>
      </w:r>
      <w:r w:rsidR="00CA1C5C">
        <w:rPr>
          <w:rFonts w:asciiTheme="minorHAnsi" w:hAnsiTheme="minorHAnsi"/>
          <w:szCs w:val="24"/>
        </w:rPr>
        <w:t>ve</w:t>
      </w:r>
      <w:r w:rsidR="008927B0" w:rsidRPr="00E0238C">
        <w:rPr>
          <w:rFonts w:asciiTheme="minorHAnsi" w:hAnsiTheme="minorHAnsi"/>
          <w:szCs w:val="24"/>
        </w:rPr>
        <w:t xml:space="preserve"> </w:t>
      </w:r>
      <w:r w:rsidRPr="00E0238C">
        <w:rPr>
          <w:rFonts w:asciiTheme="minorHAnsi" w:hAnsiTheme="minorHAnsi"/>
          <w:szCs w:val="24"/>
        </w:rPr>
        <w:t>ramifications for relatives</w:t>
      </w:r>
      <w:r w:rsidR="00680706">
        <w:rPr>
          <w:rFonts w:asciiTheme="minorHAnsi" w:hAnsiTheme="minorHAnsi"/>
          <w:szCs w:val="24"/>
        </w:rPr>
        <w:t>,</w:t>
      </w:r>
      <w:r w:rsidRPr="00E0238C">
        <w:rPr>
          <w:rFonts w:asciiTheme="minorHAnsi" w:hAnsiTheme="minorHAnsi"/>
          <w:szCs w:val="24"/>
        </w:rPr>
        <w:t xml:space="preserve"> </w:t>
      </w:r>
      <w:r w:rsidR="00BA5069" w:rsidRPr="00E0238C">
        <w:rPr>
          <w:rFonts w:asciiTheme="minorHAnsi" w:hAnsiTheme="minorHAnsi"/>
          <w:szCs w:val="24"/>
        </w:rPr>
        <w:t xml:space="preserve">future </w:t>
      </w:r>
      <w:r w:rsidRPr="00E0238C">
        <w:rPr>
          <w:rFonts w:asciiTheme="minorHAnsi" w:hAnsiTheme="minorHAnsi"/>
          <w:szCs w:val="24"/>
        </w:rPr>
        <w:t>offspring</w:t>
      </w:r>
      <w:r w:rsidR="00680706">
        <w:rPr>
          <w:rFonts w:asciiTheme="minorHAnsi" w:hAnsiTheme="minorHAnsi"/>
          <w:szCs w:val="24"/>
        </w:rPr>
        <w:t xml:space="preserve"> and personal privacy</w:t>
      </w:r>
      <w:r w:rsidRPr="00E0238C">
        <w:rPr>
          <w:rFonts w:asciiTheme="minorHAnsi" w:hAnsiTheme="minorHAnsi"/>
          <w:szCs w:val="24"/>
        </w:rPr>
        <w:t>.</w:t>
      </w:r>
    </w:p>
    <w:p w:rsidR="008B4939" w:rsidRPr="009376BD" w:rsidRDefault="008B4939" w:rsidP="009376BD">
      <w:pPr>
        <w:spacing w:after="0" w:line="240" w:lineRule="auto"/>
        <w:jc w:val="both"/>
        <w:rPr>
          <w:rFonts w:eastAsia="Times" w:cs="Times New Roman"/>
          <w:szCs w:val="24"/>
        </w:rPr>
      </w:pPr>
    </w:p>
    <w:p w:rsidR="00AF0E72" w:rsidRPr="00312C63" w:rsidRDefault="00AF0E72" w:rsidP="00AF0E72">
      <w:pPr>
        <w:pStyle w:val="DHSNumberTex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Vignette 1</w:t>
      </w:r>
    </w:p>
    <w:p w:rsidR="00AF0E72" w:rsidRPr="00410149" w:rsidRDefault="00AF0E72" w:rsidP="00AF0E72">
      <w:pPr>
        <w:pStyle w:val="DHHSbody"/>
        <w:pBdr>
          <w:top w:val="single" w:sz="4" w:space="1" w:color="auto"/>
          <w:left w:val="single" w:sz="4" w:space="4" w:color="auto"/>
          <w:bottom w:val="single" w:sz="4" w:space="1" w:color="auto"/>
          <w:right w:val="single" w:sz="4" w:space="4" w:color="auto"/>
        </w:pBdr>
        <w:jc w:val="both"/>
        <w:rPr>
          <w:rFonts w:asciiTheme="minorHAnsi" w:hAnsiTheme="minorHAnsi"/>
          <w:sz w:val="22"/>
          <w:szCs w:val="24"/>
        </w:rPr>
      </w:pPr>
      <w:r w:rsidRPr="00410149">
        <w:rPr>
          <w:rFonts w:asciiTheme="minorHAnsi" w:hAnsiTheme="minorHAnsi"/>
          <w:sz w:val="22"/>
          <w:szCs w:val="24"/>
        </w:rPr>
        <w:t xml:space="preserve">A fit and healthy 17 year old boy died while swimming.  Post mortem examination could not reveal a cause of death.  </w:t>
      </w:r>
      <w:r w:rsidR="00D9369C">
        <w:rPr>
          <w:rFonts w:asciiTheme="minorHAnsi" w:hAnsiTheme="minorHAnsi"/>
          <w:sz w:val="22"/>
          <w:szCs w:val="24"/>
        </w:rPr>
        <w:t>DNA</w:t>
      </w:r>
      <w:r w:rsidRPr="00410149">
        <w:rPr>
          <w:rFonts w:asciiTheme="minorHAnsi" w:hAnsiTheme="minorHAnsi"/>
          <w:sz w:val="22"/>
          <w:szCs w:val="24"/>
        </w:rPr>
        <w:t xml:space="preserve"> sequencing identified a mutation in the KCNQ1 gene responsible for Long QT syndrome. His parents were both tested, which found that his mother was a carrier of this mutation.  His three siblings were also tested and his older brother was found to have the same mutation; he was subsequently referred to a cardiologist for ongoing management and surveillance.  The two younger sisters did not have the mutation and were released from cardiac screening.  The extended family also underwent predictive testing.  The genomic investigation not only answered the question of this tragic loss, but facilitated predictive testing and a </w:t>
      </w:r>
      <w:r w:rsidR="00D34D61">
        <w:rPr>
          <w:rFonts w:asciiTheme="minorHAnsi" w:hAnsiTheme="minorHAnsi"/>
          <w:sz w:val="22"/>
          <w:szCs w:val="24"/>
        </w:rPr>
        <w:t>management</w:t>
      </w:r>
      <w:r w:rsidRPr="00410149">
        <w:rPr>
          <w:rFonts w:asciiTheme="minorHAnsi" w:hAnsiTheme="minorHAnsi"/>
          <w:sz w:val="22"/>
          <w:szCs w:val="24"/>
        </w:rPr>
        <w:t xml:space="preserve"> plan for those at risk, as well as release from screening </w:t>
      </w:r>
      <w:r w:rsidR="00D34D61">
        <w:rPr>
          <w:rFonts w:asciiTheme="minorHAnsi" w:hAnsiTheme="minorHAnsi"/>
          <w:sz w:val="22"/>
          <w:szCs w:val="24"/>
        </w:rPr>
        <w:t xml:space="preserve">and treatment </w:t>
      </w:r>
      <w:r w:rsidRPr="00410149">
        <w:rPr>
          <w:rFonts w:asciiTheme="minorHAnsi" w:hAnsiTheme="minorHAnsi"/>
          <w:sz w:val="22"/>
          <w:szCs w:val="24"/>
        </w:rPr>
        <w:t>for those not considered at risk.</w:t>
      </w:r>
    </w:p>
    <w:p w:rsidR="00B70911" w:rsidRDefault="00B70911" w:rsidP="00793936">
      <w:pPr>
        <w:pStyle w:val="DHHSbody"/>
        <w:pBdr>
          <w:top w:val="single" w:sz="4" w:space="1" w:color="auto"/>
          <w:left w:val="single" w:sz="4" w:space="4" w:color="auto"/>
          <w:bottom w:val="single" w:sz="4" w:space="1" w:color="auto"/>
          <w:right w:val="single" w:sz="4" w:space="4" w:color="auto"/>
        </w:pBdr>
        <w:jc w:val="both"/>
      </w:pPr>
      <w:r>
        <w:br w:type="page"/>
      </w:r>
    </w:p>
    <w:p w:rsidR="00B70911" w:rsidRDefault="00B70911" w:rsidP="001D3B96">
      <w:pPr>
        <w:pStyle w:val="Heading1"/>
        <w:spacing w:after="240"/>
      </w:pPr>
      <w:bookmarkStart w:id="14" w:name="_Toc458511936"/>
      <w:r>
        <w:lastRenderedPageBreak/>
        <w:t>Development of a new strategy</w:t>
      </w:r>
      <w:bookmarkEnd w:id="14"/>
    </w:p>
    <w:p w:rsidR="00C4048A" w:rsidRPr="001D3B96" w:rsidRDefault="00C4048A" w:rsidP="00C4048A">
      <w:pPr>
        <w:pStyle w:val="DHSNumberText"/>
        <w:numPr>
          <w:ilvl w:val="0"/>
          <w:numId w:val="0"/>
        </w:numPr>
        <w:rPr>
          <w:rFonts w:asciiTheme="minorHAnsi" w:hAnsiTheme="minorHAnsi"/>
          <w:szCs w:val="24"/>
        </w:rPr>
      </w:pPr>
      <w:r w:rsidRPr="001D3B96">
        <w:rPr>
          <w:rFonts w:asciiTheme="minorHAnsi" w:hAnsiTheme="minorHAnsi"/>
          <w:szCs w:val="24"/>
        </w:rPr>
        <w:t xml:space="preserve">The </w:t>
      </w:r>
      <w:r w:rsidRPr="001D3B96">
        <w:rPr>
          <w:rFonts w:asciiTheme="minorHAnsi" w:hAnsiTheme="minorHAnsi"/>
          <w:i/>
          <w:szCs w:val="24"/>
        </w:rPr>
        <w:t>Genetics Services Strategy for Victoria 2005 – 2009</w:t>
      </w:r>
      <w:r w:rsidRPr="001D3B96">
        <w:rPr>
          <w:rFonts w:asciiTheme="minorHAnsi" w:hAnsiTheme="minorHAnsi"/>
          <w:szCs w:val="24"/>
        </w:rPr>
        <w:t xml:space="preserve"> set principles and directions to guide planning, development and delivery of Victoria’s public genetic services</w:t>
      </w:r>
      <w:r w:rsidR="0095790F" w:rsidRPr="001D3B96">
        <w:rPr>
          <w:rFonts w:asciiTheme="minorHAnsi" w:hAnsiTheme="minorHAnsi"/>
          <w:szCs w:val="24"/>
        </w:rPr>
        <w:t xml:space="preserve"> over that period</w:t>
      </w:r>
      <w:r w:rsidRPr="001D3B96">
        <w:rPr>
          <w:rFonts w:asciiTheme="minorHAnsi" w:hAnsiTheme="minorHAnsi"/>
          <w:szCs w:val="24"/>
        </w:rPr>
        <w:t xml:space="preserve">.  Since then, Victoria has operated without an overarching vision that </w:t>
      </w:r>
      <w:r w:rsidR="00636AF8">
        <w:rPr>
          <w:rFonts w:asciiTheme="minorHAnsi" w:hAnsiTheme="minorHAnsi"/>
          <w:szCs w:val="24"/>
        </w:rPr>
        <w:t xml:space="preserve">appropriately </w:t>
      </w:r>
      <w:r w:rsidRPr="001D3B96">
        <w:rPr>
          <w:rFonts w:asciiTheme="minorHAnsi" w:hAnsiTheme="minorHAnsi"/>
          <w:szCs w:val="24"/>
        </w:rPr>
        <w:t xml:space="preserve">harnesses </w:t>
      </w:r>
      <w:r w:rsidR="0095790F" w:rsidRPr="001D3B96">
        <w:rPr>
          <w:rFonts w:asciiTheme="minorHAnsi" w:hAnsiTheme="minorHAnsi"/>
          <w:szCs w:val="24"/>
        </w:rPr>
        <w:t xml:space="preserve">new </w:t>
      </w:r>
      <w:r w:rsidRPr="001D3B96">
        <w:rPr>
          <w:rFonts w:asciiTheme="minorHAnsi" w:hAnsiTheme="minorHAnsi"/>
          <w:szCs w:val="24"/>
        </w:rPr>
        <w:t>genomic sequencing knowledge and technolo</w:t>
      </w:r>
      <w:r w:rsidR="00636AF8">
        <w:rPr>
          <w:rFonts w:asciiTheme="minorHAnsi" w:hAnsiTheme="minorHAnsi"/>
          <w:szCs w:val="24"/>
        </w:rPr>
        <w:t>gy.</w:t>
      </w:r>
      <w:r w:rsidR="00F2216A">
        <w:rPr>
          <w:rFonts w:asciiTheme="minorHAnsi" w:hAnsiTheme="minorHAnsi"/>
          <w:szCs w:val="24"/>
        </w:rPr>
        <w:t xml:space="preserve">  </w:t>
      </w:r>
      <w:r w:rsidRPr="001D3B96">
        <w:rPr>
          <w:rFonts w:asciiTheme="minorHAnsi" w:hAnsiTheme="minorHAnsi"/>
          <w:szCs w:val="24"/>
        </w:rPr>
        <w:t xml:space="preserve">In March 2015 </w:t>
      </w:r>
      <w:r w:rsidR="0048554B" w:rsidRPr="001D3B96">
        <w:rPr>
          <w:rFonts w:asciiTheme="minorHAnsi" w:hAnsiTheme="minorHAnsi"/>
          <w:szCs w:val="24"/>
        </w:rPr>
        <w:t xml:space="preserve">an </w:t>
      </w:r>
      <w:r w:rsidRPr="001D3B96">
        <w:rPr>
          <w:rFonts w:asciiTheme="minorHAnsi" w:hAnsiTheme="minorHAnsi"/>
          <w:szCs w:val="24"/>
        </w:rPr>
        <w:t xml:space="preserve">internal </w:t>
      </w:r>
      <w:r w:rsidR="0048554B" w:rsidRPr="001D3B96">
        <w:rPr>
          <w:rFonts w:asciiTheme="minorHAnsi" w:hAnsiTheme="minorHAnsi"/>
          <w:szCs w:val="24"/>
        </w:rPr>
        <w:t xml:space="preserve">departmental </w:t>
      </w:r>
      <w:r w:rsidR="00636AF8">
        <w:rPr>
          <w:rFonts w:asciiTheme="minorHAnsi" w:hAnsiTheme="minorHAnsi"/>
          <w:szCs w:val="24"/>
        </w:rPr>
        <w:t>reference group</w:t>
      </w:r>
      <w:r w:rsidR="0048554B" w:rsidRPr="001D3B96">
        <w:rPr>
          <w:rFonts w:asciiTheme="minorHAnsi" w:hAnsiTheme="minorHAnsi"/>
          <w:szCs w:val="24"/>
        </w:rPr>
        <w:t xml:space="preserve"> </w:t>
      </w:r>
      <w:r w:rsidRPr="001D3B96">
        <w:rPr>
          <w:rFonts w:asciiTheme="minorHAnsi" w:hAnsiTheme="minorHAnsi"/>
          <w:szCs w:val="24"/>
        </w:rPr>
        <w:t xml:space="preserve">and </w:t>
      </w:r>
      <w:r w:rsidR="0048554B" w:rsidRPr="001D3B96">
        <w:rPr>
          <w:rFonts w:asciiTheme="minorHAnsi" w:hAnsiTheme="minorHAnsi"/>
          <w:szCs w:val="24"/>
        </w:rPr>
        <w:t xml:space="preserve">an </w:t>
      </w:r>
      <w:r w:rsidRPr="001D3B96">
        <w:rPr>
          <w:rFonts w:asciiTheme="minorHAnsi" w:hAnsiTheme="minorHAnsi"/>
          <w:szCs w:val="24"/>
        </w:rPr>
        <w:t xml:space="preserve">external expert </w:t>
      </w:r>
      <w:r w:rsidR="00636AF8">
        <w:rPr>
          <w:rFonts w:asciiTheme="minorHAnsi" w:hAnsiTheme="minorHAnsi"/>
          <w:szCs w:val="24"/>
        </w:rPr>
        <w:t xml:space="preserve">advisory committee </w:t>
      </w:r>
      <w:r w:rsidRPr="001D3B96">
        <w:rPr>
          <w:rFonts w:asciiTheme="minorHAnsi" w:hAnsiTheme="minorHAnsi"/>
          <w:szCs w:val="24"/>
        </w:rPr>
        <w:t xml:space="preserve">were formed to </w:t>
      </w:r>
      <w:r w:rsidR="00636AF8">
        <w:rPr>
          <w:rFonts w:asciiTheme="minorHAnsi" w:hAnsiTheme="minorHAnsi"/>
          <w:szCs w:val="24"/>
        </w:rPr>
        <w:t>flag issues and</w:t>
      </w:r>
      <w:r w:rsidR="004120E2">
        <w:rPr>
          <w:rFonts w:asciiTheme="minorHAnsi" w:hAnsiTheme="minorHAnsi"/>
          <w:szCs w:val="24"/>
        </w:rPr>
        <w:t xml:space="preserve"> </w:t>
      </w:r>
      <w:r w:rsidRPr="001D3B96">
        <w:rPr>
          <w:rFonts w:asciiTheme="minorHAnsi" w:hAnsiTheme="minorHAnsi"/>
          <w:szCs w:val="24"/>
        </w:rPr>
        <w:t>develop concepts and scope for a Victorian genomic health care strategy.</w:t>
      </w:r>
      <w:r w:rsidR="0048554B" w:rsidRPr="001D3B96">
        <w:rPr>
          <w:rFonts w:asciiTheme="minorHAnsi" w:hAnsiTheme="minorHAnsi"/>
          <w:szCs w:val="24"/>
        </w:rPr>
        <w:t xml:space="preserve"> </w:t>
      </w:r>
      <w:r w:rsidRPr="001D3B96">
        <w:rPr>
          <w:rFonts w:asciiTheme="minorHAnsi" w:hAnsiTheme="minorHAnsi"/>
          <w:szCs w:val="24"/>
        </w:rPr>
        <w:t xml:space="preserve"> These groups met several times</w:t>
      </w:r>
      <w:r w:rsidR="0048554B" w:rsidRPr="001D3B96">
        <w:rPr>
          <w:rFonts w:asciiTheme="minorHAnsi" w:hAnsiTheme="minorHAnsi"/>
          <w:szCs w:val="24"/>
        </w:rPr>
        <w:t>,</w:t>
      </w:r>
      <w:r w:rsidRPr="001D3B96">
        <w:rPr>
          <w:rFonts w:asciiTheme="minorHAnsi" w:hAnsiTheme="minorHAnsi"/>
          <w:szCs w:val="24"/>
        </w:rPr>
        <w:t xml:space="preserve"> culminating in a joint workshop in August 2015</w:t>
      </w:r>
      <w:r w:rsidR="00F2216A">
        <w:rPr>
          <w:rStyle w:val="FootnoteReference"/>
          <w:rFonts w:asciiTheme="minorHAnsi" w:hAnsiTheme="minorHAnsi"/>
          <w:szCs w:val="24"/>
        </w:rPr>
        <w:footnoteReference w:id="3"/>
      </w:r>
      <w:r w:rsidRPr="001D3B96">
        <w:rPr>
          <w:rFonts w:asciiTheme="minorHAnsi" w:hAnsiTheme="minorHAnsi"/>
          <w:szCs w:val="24"/>
        </w:rPr>
        <w:t>.</w:t>
      </w:r>
      <w:r w:rsidR="0048554B" w:rsidRPr="001D3B96">
        <w:rPr>
          <w:rFonts w:asciiTheme="minorHAnsi" w:hAnsiTheme="minorHAnsi"/>
          <w:szCs w:val="24"/>
        </w:rPr>
        <w:t xml:space="preserve"> </w:t>
      </w:r>
      <w:r w:rsidRPr="001D3B96">
        <w:rPr>
          <w:rFonts w:asciiTheme="minorHAnsi" w:hAnsiTheme="minorHAnsi"/>
          <w:szCs w:val="24"/>
        </w:rPr>
        <w:t xml:space="preserve"> </w:t>
      </w:r>
      <w:r w:rsidR="005975EF">
        <w:rPr>
          <w:rFonts w:asciiTheme="minorHAnsi" w:hAnsiTheme="minorHAnsi"/>
          <w:szCs w:val="24"/>
        </w:rPr>
        <w:t>The following are key findings from the workshop</w:t>
      </w:r>
      <w:r w:rsidRPr="001D3B96">
        <w:rPr>
          <w:rFonts w:asciiTheme="minorHAnsi" w:hAnsiTheme="minorHAnsi"/>
          <w:szCs w:val="24"/>
        </w:rPr>
        <w:t xml:space="preserve">. </w:t>
      </w:r>
    </w:p>
    <w:p w:rsidR="00C4048A" w:rsidRDefault="00C4048A" w:rsidP="00C4048A">
      <w:pPr>
        <w:pStyle w:val="Heading2"/>
      </w:pPr>
      <w:bookmarkStart w:id="15" w:name="_Toc458511937"/>
      <w:r>
        <w:t>Summary of key findings</w:t>
      </w:r>
      <w:r w:rsidR="00796497">
        <w:t xml:space="preserve"> from </w:t>
      </w:r>
      <w:r w:rsidR="004120E2">
        <w:t>2015 workshop</w:t>
      </w:r>
      <w:bookmarkEnd w:id="15"/>
    </w:p>
    <w:p w:rsidR="00C4048A" w:rsidRPr="001D3B96" w:rsidRDefault="00C4048A" w:rsidP="00C4048A">
      <w:pPr>
        <w:pStyle w:val="ListParagraph"/>
        <w:numPr>
          <w:ilvl w:val="0"/>
          <w:numId w:val="2"/>
        </w:numPr>
        <w:jc w:val="both"/>
        <w:rPr>
          <w:rFonts w:eastAsia="Times" w:cs="Times New Roman"/>
          <w:szCs w:val="24"/>
          <w:lang w:val="en-AU"/>
        </w:rPr>
      </w:pPr>
      <w:r w:rsidRPr="001D3B96">
        <w:rPr>
          <w:rFonts w:eastAsia="Times" w:cs="Times New Roman"/>
          <w:szCs w:val="24"/>
          <w:lang w:val="en-AU"/>
        </w:rPr>
        <w:t xml:space="preserve">The rapid expansion and translation of genomic technologies </w:t>
      </w:r>
      <w:r w:rsidR="004120E2" w:rsidRPr="001D3B96">
        <w:rPr>
          <w:rFonts w:eastAsia="Times" w:cs="Times New Roman"/>
          <w:szCs w:val="24"/>
          <w:lang w:val="en-AU"/>
        </w:rPr>
        <w:t>in</w:t>
      </w:r>
      <w:r w:rsidRPr="001D3B96">
        <w:rPr>
          <w:rFonts w:eastAsia="Times" w:cs="Times New Roman"/>
          <w:szCs w:val="24"/>
          <w:lang w:val="en-AU"/>
        </w:rPr>
        <w:t>to clinical practice in the absence of clear clinical, legal and ethical frameworks requires immediate attention</w:t>
      </w:r>
      <w:r w:rsidR="001D3B96">
        <w:rPr>
          <w:rFonts w:eastAsia="Times" w:cs="Times New Roman"/>
          <w:szCs w:val="24"/>
          <w:lang w:val="en-AU"/>
        </w:rPr>
        <w:t>.</w:t>
      </w:r>
    </w:p>
    <w:p w:rsidR="00C4048A" w:rsidRDefault="00636AF8" w:rsidP="00C4048A">
      <w:pPr>
        <w:pStyle w:val="ListParagraph"/>
        <w:numPr>
          <w:ilvl w:val="0"/>
          <w:numId w:val="2"/>
        </w:numPr>
        <w:jc w:val="both"/>
        <w:rPr>
          <w:rFonts w:eastAsia="Times" w:cs="Times New Roman"/>
          <w:szCs w:val="24"/>
          <w:lang w:val="en-AU"/>
        </w:rPr>
      </w:pPr>
      <w:r>
        <w:rPr>
          <w:rFonts w:eastAsia="Times" w:cs="Times New Roman"/>
          <w:szCs w:val="24"/>
          <w:lang w:val="en-AU"/>
        </w:rPr>
        <w:t>T</w:t>
      </w:r>
      <w:r w:rsidR="00C4048A" w:rsidRPr="001D3B96">
        <w:rPr>
          <w:rFonts w:eastAsia="Times" w:cs="Times New Roman"/>
          <w:szCs w:val="24"/>
          <w:lang w:val="en-AU"/>
        </w:rPr>
        <w:t xml:space="preserve">here is low </w:t>
      </w:r>
      <w:r w:rsidR="00083F3D" w:rsidRPr="001D3B96">
        <w:rPr>
          <w:rFonts w:eastAsia="Times" w:cs="Times New Roman"/>
          <w:szCs w:val="24"/>
          <w:lang w:val="en-AU"/>
        </w:rPr>
        <w:t xml:space="preserve">health </w:t>
      </w:r>
      <w:r w:rsidR="00C4048A" w:rsidRPr="001D3B96">
        <w:rPr>
          <w:rFonts w:eastAsia="Times" w:cs="Times New Roman"/>
          <w:szCs w:val="24"/>
          <w:lang w:val="en-AU"/>
        </w:rPr>
        <w:t xml:space="preserve">literacy in both the community and </w:t>
      </w:r>
      <w:r w:rsidR="008671B7">
        <w:rPr>
          <w:rFonts w:eastAsia="Times" w:cs="Times New Roman"/>
          <w:szCs w:val="24"/>
          <w:lang w:val="en-AU"/>
        </w:rPr>
        <w:t xml:space="preserve">among </w:t>
      </w:r>
      <w:r w:rsidR="00C4048A" w:rsidRPr="001D3B96">
        <w:rPr>
          <w:rFonts w:eastAsia="Times" w:cs="Times New Roman"/>
          <w:szCs w:val="24"/>
          <w:lang w:val="en-AU"/>
        </w:rPr>
        <w:t xml:space="preserve">health </w:t>
      </w:r>
      <w:r w:rsidR="008671B7">
        <w:rPr>
          <w:rFonts w:eastAsia="Times" w:cs="Times New Roman"/>
          <w:szCs w:val="24"/>
          <w:lang w:val="en-AU"/>
        </w:rPr>
        <w:t>professionals</w:t>
      </w:r>
      <w:r w:rsidR="008671B7" w:rsidRPr="001D3B96">
        <w:rPr>
          <w:rFonts w:eastAsia="Times" w:cs="Times New Roman"/>
          <w:szCs w:val="24"/>
          <w:lang w:val="en-AU"/>
        </w:rPr>
        <w:t xml:space="preserve"> </w:t>
      </w:r>
      <w:r w:rsidR="00C4048A" w:rsidRPr="001D3B96">
        <w:rPr>
          <w:rFonts w:eastAsia="Times" w:cs="Times New Roman"/>
          <w:szCs w:val="24"/>
          <w:lang w:val="en-AU"/>
        </w:rPr>
        <w:t>regard</w:t>
      </w:r>
      <w:r w:rsidR="00314268">
        <w:rPr>
          <w:rFonts w:eastAsia="Times" w:cs="Times New Roman"/>
          <w:szCs w:val="24"/>
          <w:lang w:val="en-AU"/>
        </w:rPr>
        <w:t>ing</w:t>
      </w:r>
      <w:r w:rsidR="00C4048A" w:rsidRPr="001D3B96">
        <w:rPr>
          <w:rFonts w:eastAsia="Times" w:cs="Times New Roman"/>
          <w:szCs w:val="24"/>
          <w:lang w:val="en-AU"/>
        </w:rPr>
        <w:t xml:space="preserve"> the genetic basis </w:t>
      </w:r>
      <w:r>
        <w:rPr>
          <w:rFonts w:eastAsia="Times" w:cs="Times New Roman"/>
          <w:szCs w:val="24"/>
          <w:lang w:val="en-AU"/>
        </w:rPr>
        <w:t xml:space="preserve">and implications </w:t>
      </w:r>
      <w:r w:rsidR="00C4048A" w:rsidRPr="001D3B96">
        <w:rPr>
          <w:rFonts w:eastAsia="Times" w:cs="Times New Roman"/>
          <w:szCs w:val="24"/>
          <w:lang w:val="en-AU"/>
        </w:rPr>
        <w:t>for many common and debilitating conditions</w:t>
      </w:r>
      <w:r w:rsidR="00EE2202">
        <w:rPr>
          <w:rFonts w:eastAsia="Times" w:cs="Times New Roman"/>
          <w:szCs w:val="24"/>
          <w:lang w:val="en-AU"/>
        </w:rPr>
        <w:t>, impacting knowledge uptake and use</w:t>
      </w:r>
      <w:r w:rsidR="00C4048A" w:rsidRPr="001D3B96">
        <w:rPr>
          <w:rFonts w:eastAsia="Times" w:cs="Times New Roman"/>
          <w:szCs w:val="24"/>
          <w:lang w:val="en-AU"/>
        </w:rPr>
        <w:t>.</w:t>
      </w:r>
    </w:p>
    <w:p w:rsidR="00C4048A" w:rsidRDefault="00C4048A" w:rsidP="00C4048A">
      <w:pPr>
        <w:pStyle w:val="ListParagraph"/>
        <w:numPr>
          <w:ilvl w:val="0"/>
          <w:numId w:val="2"/>
        </w:numPr>
        <w:jc w:val="both"/>
        <w:rPr>
          <w:rFonts w:eastAsia="Times" w:cs="Times New Roman"/>
          <w:szCs w:val="24"/>
          <w:lang w:val="en-AU"/>
        </w:rPr>
      </w:pPr>
      <w:r w:rsidRPr="001D3B96">
        <w:rPr>
          <w:rFonts w:eastAsia="Times" w:cs="Times New Roman"/>
          <w:szCs w:val="24"/>
          <w:lang w:val="en-AU"/>
        </w:rPr>
        <w:t xml:space="preserve">Access </w:t>
      </w:r>
      <w:r w:rsidR="00B00D93">
        <w:rPr>
          <w:rFonts w:eastAsia="Times" w:cs="Times New Roman"/>
          <w:szCs w:val="24"/>
          <w:lang w:val="en-AU"/>
        </w:rPr>
        <w:t xml:space="preserve">to genetic care </w:t>
      </w:r>
      <w:r w:rsidRPr="001D3B96">
        <w:rPr>
          <w:rFonts w:eastAsia="Times" w:cs="Times New Roman"/>
          <w:szCs w:val="24"/>
          <w:lang w:val="en-AU"/>
        </w:rPr>
        <w:t xml:space="preserve">is not equitable across </w:t>
      </w:r>
      <w:r w:rsidR="00B00D93">
        <w:rPr>
          <w:rFonts w:eastAsia="Times" w:cs="Times New Roman"/>
          <w:szCs w:val="24"/>
          <w:lang w:val="en-AU"/>
        </w:rPr>
        <w:t>Victoria</w:t>
      </w:r>
      <w:r w:rsidRPr="001D3B96">
        <w:rPr>
          <w:rFonts w:eastAsia="Times" w:cs="Times New Roman"/>
          <w:szCs w:val="24"/>
          <w:lang w:val="en-AU"/>
        </w:rPr>
        <w:t>.</w:t>
      </w:r>
      <w:r w:rsidR="004120E2" w:rsidRPr="001D3B96">
        <w:rPr>
          <w:rFonts w:eastAsia="Times" w:cs="Times New Roman"/>
          <w:szCs w:val="24"/>
          <w:lang w:val="en-AU"/>
        </w:rPr>
        <w:t xml:space="preserve"> </w:t>
      </w:r>
      <w:r w:rsidRPr="001D3B96">
        <w:rPr>
          <w:rFonts w:eastAsia="Times" w:cs="Times New Roman"/>
          <w:szCs w:val="24"/>
          <w:lang w:val="en-AU"/>
        </w:rPr>
        <w:t xml:space="preserve"> </w:t>
      </w:r>
      <w:r w:rsidR="00B00D93">
        <w:rPr>
          <w:rFonts w:eastAsia="Times" w:cs="Times New Roman"/>
          <w:szCs w:val="24"/>
          <w:lang w:val="en-AU"/>
        </w:rPr>
        <w:t>There should be e</w:t>
      </w:r>
      <w:r w:rsidRPr="001D3B96">
        <w:rPr>
          <w:rFonts w:eastAsia="Times" w:cs="Times New Roman"/>
          <w:szCs w:val="24"/>
          <w:lang w:val="en-AU"/>
        </w:rPr>
        <w:t>qual access for equal need.</w:t>
      </w:r>
    </w:p>
    <w:p w:rsidR="00093ADF" w:rsidRPr="001D3B96" w:rsidRDefault="00093ADF" w:rsidP="00471D03">
      <w:pPr>
        <w:pStyle w:val="ListParagraph"/>
        <w:numPr>
          <w:ilvl w:val="0"/>
          <w:numId w:val="2"/>
        </w:numPr>
        <w:jc w:val="both"/>
        <w:rPr>
          <w:rFonts w:eastAsia="Times" w:cs="Times New Roman"/>
          <w:szCs w:val="24"/>
          <w:lang w:val="en-AU"/>
        </w:rPr>
      </w:pPr>
      <w:r>
        <w:rPr>
          <w:rFonts w:eastAsia="Times" w:cs="Times New Roman"/>
          <w:szCs w:val="24"/>
          <w:lang w:val="en-AU"/>
        </w:rPr>
        <w:t xml:space="preserve">There is increasing demand for somatic/tumour testing to inform cancer treatment and </w:t>
      </w:r>
      <w:r w:rsidR="005975EF">
        <w:rPr>
          <w:rFonts w:eastAsia="Times" w:cs="Times New Roman"/>
          <w:szCs w:val="24"/>
          <w:lang w:val="en-AU"/>
        </w:rPr>
        <w:t xml:space="preserve">patient </w:t>
      </w:r>
      <w:r>
        <w:rPr>
          <w:rFonts w:eastAsia="Times" w:cs="Times New Roman"/>
          <w:szCs w:val="24"/>
          <w:lang w:val="en-AU"/>
        </w:rPr>
        <w:t>management</w:t>
      </w:r>
      <w:r w:rsidR="005975EF">
        <w:rPr>
          <w:rFonts w:eastAsia="Times" w:cs="Times New Roman"/>
          <w:szCs w:val="24"/>
          <w:lang w:val="en-AU"/>
        </w:rPr>
        <w:t>, including participation in clinical trials</w:t>
      </w:r>
      <w:r>
        <w:rPr>
          <w:rFonts w:eastAsia="Times" w:cs="Times New Roman"/>
          <w:szCs w:val="24"/>
          <w:lang w:val="en-AU"/>
        </w:rPr>
        <w:t>.</w:t>
      </w:r>
    </w:p>
    <w:p w:rsidR="00C4048A" w:rsidRPr="001D3B96" w:rsidRDefault="00C4048A" w:rsidP="00C4048A">
      <w:pPr>
        <w:pStyle w:val="ListParagraph"/>
        <w:numPr>
          <w:ilvl w:val="0"/>
          <w:numId w:val="2"/>
        </w:numPr>
        <w:jc w:val="both"/>
        <w:rPr>
          <w:rFonts w:eastAsia="Times" w:cs="Times New Roman"/>
          <w:szCs w:val="24"/>
          <w:lang w:val="en-AU"/>
        </w:rPr>
      </w:pPr>
      <w:r w:rsidRPr="001D3B96">
        <w:rPr>
          <w:rFonts w:eastAsia="Times" w:cs="Times New Roman"/>
          <w:szCs w:val="24"/>
          <w:lang w:val="en-AU"/>
        </w:rPr>
        <w:t xml:space="preserve">Diagnostic odysseys are </w:t>
      </w:r>
      <w:r w:rsidR="009F18CD">
        <w:rPr>
          <w:rFonts w:eastAsia="Times" w:cs="Times New Roman"/>
          <w:szCs w:val="24"/>
          <w:lang w:val="en-AU"/>
        </w:rPr>
        <w:t>common</w:t>
      </w:r>
      <w:r w:rsidRPr="001D3B96">
        <w:rPr>
          <w:rFonts w:eastAsia="Times" w:cs="Times New Roman"/>
          <w:szCs w:val="24"/>
          <w:lang w:val="en-AU"/>
        </w:rPr>
        <w:t xml:space="preserve"> for </w:t>
      </w:r>
      <w:r w:rsidR="004120E2" w:rsidRPr="001D3B96">
        <w:rPr>
          <w:rFonts w:eastAsia="Times" w:cs="Times New Roman"/>
          <w:szCs w:val="24"/>
          <w:lang w:val="en-AU"/>
        </w:rPr>
        <w:t xml:space="preserve">those individuals and families </w:t>
      </w:r>
      <w:r w:rsidRPr="001D3B96">
        <w:rPr>
          <w:rFonts w:eastAsia="Times" w:cs="Times New Roman"/>
          <w:szCs w:val="24"/>
          <w:lang w:val="en-AU"/>
        </w:rPr>
        <w:t>with rare and complex disorders.</w:t>
      </w:r>
      <w:r w:rsidR="004120E2" w:rsidRPr="001D3B96">
        <w:rPr>
          <w:rFonts w:eastAsia="Times" w:cs="Times New Roman"/>
          <w:szCs w:val="24"/>
          <w:lang w:val="en-AU"/>
        </w:rPr>
        <w:t xml:space="preserve"> </w:t>
      </w:r>
      <w:r w:rsidRPr="001D3B96">
        <w:rPr>
          <w:rFonts w:eastAsia="Times" w:cs="Times New Roman"/>
          <w:szCs w:val="24"/>
          <w:lang w:val="en-AU"/>
        </w:rPr>
        <w:t xml:space="preserve"> A good family history will improve the recognition of potential heritable disorders for these individuals and families and may reduce the burden and distress of the current diagnostic odyssey by reducing the time to definitive diagnosis.  The importance of taking a good family history cannot be underestimated. </w:t>
      </w:r>
    </w:p>
    <w:p w:rsidR="00C4048A" w:rsidRPr="001D3B96" w:rsidRDefault="00C4048A" w:rsidP="00C4048A">
      <w:pPr>
        <w:pStyle w:val="ListParagraph"/>
        <w:numPr>
          <w:ilvl w:val="0"/>
          <w:numId w:val="2"/>
        </w:numPr>
        <w:jc w:val="both"/>
        <w:rPr>
          <w:rFonts w:eastAsia="Times" w:cs="Times New Roman"/>
          <w:szCs w:val="24"/>
          <w:lang w:val="en-AU"/>
        </w:rPr>
      </w:pPr>
      <w:r w:rsidRPr="001D3B96">
        <w:rPr>
          <w:rFonts w:eastAsia="Times" w:cs="Times New Roman"/>
          <w:szCs w:val="24"/>
          <w:lang w:val="en-AU"/>
        </w:rPr>
        <w:t>Genomic healthcare poses many challenges for the health workforce. There is a need for</w:t>
      </w:r>
      <w:r w:rsidR="00974736">
        <w:rPr>
          <w:rFonts w:eastAsia="Times" w:cs="Times New Roman"/>
          <w:szCs w:val="24"/>
          <w:lang w:val="en-AU"/>
        </w:rPr>
        <w:t>:</w:t>
      </w:r>
      <w:r w:rsidRPr="001D3B96">
        <w:rPr>
          <w:rFonts w:eastAsia="Times" w:cs="Times New Roman"/>
          <w:szCs w:val="24"/>
          <w:lang w:val="en-AU"/>
        </w:rPr>
        <w:t xml:space="preserve"> new skill</w:t>
      </w:r>
      <w:r w:rsidR="0095790F" w:rsidRPr="001D3B96">
        <w:rPr>
          <w:rFonts w:eastAsia="Times" w:cs="Times New Roman"/>
          <w:szCs w:val="24"/>
          <w:lang w:val="en-AU"/>
        </w:rPr>
        <w:t>s</w:t>
      </w:r>
      <w:r w:rsidRPr="001D3B96">
        <w:rPr>
          <w:rFonts w:eastAsia="Times" w:cs="Times New Roman"/>
          <w:szCs w:val="24"/>
          <w:lang w:val="en-AU"/>
        </w:rPr>
        <w:t xml:space="preserve"> and knowledge for health professionals to assist individuals and families dealing with complex information; better structures for working across disciplines to </w:t>
      </w:r>
      <w:r w:rsidR="004120E2" w:rsidRPr="001D3B96">
        <w:rPr>
          <w:rFonts w:eastAsia="Times" w:cs="Times New Roman"/>
          <w:szCs w:val="24"/>
          <w:lang w:val="en-AU"/>
        </w:rPr>
        <w:t xml:space="preserve">appropriately </w:t>
      </w:r>
      <w:r w:rsidR="007D635D">
        <w:rPr>
          <w:rFonts w:eastAsia="Times" w:cs="Times New Roman"/>
          <w:szCs w:val="24"/>
          <w:lang w:val="en-AU"/>
        </w:rPr>
        <w:t>incorporate genomic information</w:t>
      </w:r>
      <w:r w:rsidRPr="001D3B96">
        <w:rPr>
          <w:rFonts w:eastAsia="Times" w:cs="Times New Roman"/>
          <w:szCs w:val="24"/>
          <w:lang w:val="en-AU"/>
        </w:rPr>
        <w:t xml:space="preserve"> into clinical decision making; improved ways </w:t>
      </w:r>
      <w:r w:rsidR="00974736">
        <w:rPr>
          <w:rFonts w:eastAsia="Times" w:cs="Times New Roman"/>
          <w:szCs w:val="24"/>
          <w:lang w:val="en-AU"/>
        </w:rPr>
        <w:t>to</w:t>
      </w:r>
      <w:r w:rsidR="00592C77">
        <w:rPr>
          <w:rFonts w:eastAsia="Times" w:cs="Times New Roman"/>
          <w:szCs w:val="24"/>
          <w:lang w:val="en-AU"/>
        </w:rPr>
        <w:t xml:space="preserve"> ensure</w:t>
      </w:r>
      <w:r w:rsidRPr="001D3B96">
        <w:rPr>
          <w:rFonts w:eastAsia="Times" w:cs="Times New Roman"/>
          <w:szCs w:val="24"/>
          <w:lang w:val="en-AU"/>
        </w:rPr>
        <w:t xml:space="preserve"> </w:t>
      </w:r>
      <w:r w:rsidR="004120E2" w:rsidRPr="001D3B96">
        <w:rPr>
          <w:rFonts w:eastAsia="Times" w:cs="Times New Roman"/>
          <w:szCs w:val="24"/>
          <w:lang w:val="en-AU"/>
        </w:rPr>
        <w:t>scarce</w:t>
      </w:r>
      <w:r w:rsidRPr="001D3B96">
        <w:rPr>
          <w:rFonts w:eastAsia="Times" w:cs="Times New Roman"/>
          <w:szCs w:val="24"/>
          <w:lang w:val="en-AU"/>
        </w:rPr>
        <w:t xml:space="preserve"> resources are used </w:t>
      </w:r>
      <w:r w:rsidR="00974736">
        <w:rPr>
          <w:rFonts w:eastAsia="Times" w:cs="Times New Roman"/>
          <w:szCs w:val="24"/>
          <w:lang w:val="en-AU"/>
        </w:rPr>
        <w:t>efficiently</w:t>
      </w:r>
      <w:r w:rsidRPr="001D3B96">
        <w:rPr>
          <w:rFonts w:eastAsia="Times" w:cs="Times New Roman"/>
          <w:szCs w:val="24"/>
          <w:lang w:val="en-AU"/>
        </w:rPr>
        <w:t xml:space="preserve">; and </w:t>
      </w:r>
      <w:r w:rsidR="0095790F" w:rsidRPr="001D3B96">
        <w:rPr>
          <w:rFonts w:eastAsia="Times" w:cs="Times New Roman"/>
          <w:szCs w:val="24"/>
          <w:lang w:val="en-AU"/>
        </w:rPr>
        <w:t>development of a</w:t>
      </w:r>
      <w:r w:rsidRPr="001D3B96">
        <w:rPr>
          <w:rFonts w:eastAsia="Times" w:cs="Times New Roman"/>
          <w:szCs w:val="24"/>
          <w:lang w:val="en-AU"/>
        </w:rPr>
        <w:t xml:space="preserve"> bioinformatics workforce to support research and translation </w:t>
      </w:r>
      <w:r w:rsidR="004120E2" w:rsidRPr="001D3B96">
        <w:rPr>
          <w:rFonts w:eastAsia="Times" w:cs="Times New Roman"/>
          <w:szCs w:val="24"/>
          <w:lang w:val="en-AU"/>
        </w:rPr>
        <w:t>in</w:t>
      </w:r>
      <w:r w:rsidRPr="001D3B96">
        <w:rPr>
          <w:rFonts w:eastAsia="Times" w:cs="Times New Roman"/>
          <w:szCs w:val="24"/>
          <w:lang w:val="en-AU"/>
        </w:rPr>
        <w:t xml:space="preserve">to </w:t>
      </w:r>
      <w:r w:rsidR="0091311E">
        <w:rPr>
          <w:rFonts w:eastAsia="Times" w:cs="Times New Roman"/>
          <w:szCs w:val="24"/>
          <w:lang w:val="en-AU"/>
        </w:rPr>
        <w:t>routine</w:t>
      </w:r>
      <w:r w:rsidR="004120E2" w:rsidRPr="001D3B96">
        <w:rPr>
          <w:rFonts w:eastAsia="Times" w:cs="Times New Roman"/>
          <w:szCs w:val="24"/>
          <w:lang w:val="en-AU"/>
        </w:rPr>
        <w:t xml:space="preserve"> </w:t>
      </w:r>
      <w:r w:rsidRPr="001D3B96">
        <w:rPr>
          <w:rFonts w:eastAsia="Times" w:cs="Times New Roman"/>
          <w:szCs w:val="24"/>
          <w:lang w:val="en-AU"/>
        </w:rPr>
        <w:t>clinical care.</w:t>
      </w:r>
    </w:p>
    <w:p w:rsidR="00C4048A" w:rsidRPr="001D3B96" w:rsidRDefault="00C4048A" w:rsidP="00C4048A">
      <w:pPr>
        <w:pStyle w:val="ListParagraph"/>
        <w:numPr>
          <w:ilvl w:val="0"/>
          <w:numId w:val="2"/>
        </w:numPr>
        <w:jc w:val="both"/>
        <w:rPr>
          <w:rFonts w:eastAsia="Times" w:cs="Times New Roman"/>
          <w:szCs w:val="24"/>
          <w:lang w:val="en-AU"/>
        </w:rPr>
      </w:pPr>
      <w:r w:rsidRPr="001D3B96">
        <w:rPr>
          <w:rFonts w:eastAsia="Times" w:cs="Times New Roman"/>
          <w:szCs w:val="24"/>
          <w:lang w:val="en-AU"/>
        </w:rPr>
        <w:t>The world of biomedicine is rapidly changing, c</w:t>
      </w:r>
      <w:r w:rsidR="00F557A1">
        <w:rPr>
          <w:rFonts w:eastAsia="Times" w:cs="Times New Roman"/>
          <w:szCs w:val="24"/>
          <w:lang w:val="en-AU"/>
        </w:rPr>
        <w:t xml:space="preserve">reating a deluge of data that </w:t>
      </w:r>
      <w:r w:rsidR="00314268">
        <w:rPr>
          <w:rFonts w:eastAsia="Times" w:cs="Times New Roman"/>
          <w:szCs w:val="24"/>
          <w:lang w:val="en-AU"/>
        </w:rPr>
        <w:t>is</w:t>
      </w:r>
      <w:r w:rsidR="00314268" w:rsidRPr="001D3B96">
        <w:rPr>
          <w:rFonts w:eastAsia="Times" w:cs="Times New Roman"/>
          <w:szCs w:val="24"/>
          <w:lang w:val="en-AU"/>
        </w:rPr>
        <w:t xml:space="preserve"> </w:t>
      </w:r>
      <w:r w:rsidRPr="001D3B96">
        <w:rPr>
          <w:rFonts w:eastAsia="Times" w:cs="Times New Roman"/>
          <w:szCs w:val="24"/>
          <w:lang w:val="en-AU"/>
        </w:rPr>
        <w:t>placing significant pressure on current systems and approaches to processing and analysing information.</w:t>
      </w:r>
      <w:r w:rsidR="00F557A1">
        <w:rPr>
          <w:rFonts w:eastAsia="Times" w:cs="Times New Roman"/>
          <w:szCs w:val="24"/>
          <w:lang w:val="en-AU"/>
        </w:rPr>
        <w:t xml:space="preserve"> </w:t>
      </w:r>
      <w:r w:rsidRPr="001D3B96">
        <w:rPr>
          <w:rFonts w:eastAsia="Times" w:cs="Times New Roman"/>
          <w:szCs w:val="24"/>
          <w:lang w:val="en-AU"/>
        </w:rPr>
        <w:t xml:space="preserve"> A more robust and sustainable platform is needed to support bioinformatics and information sharing locally, nationally and internationally</w:t>
      </w:r>
      <w:r w:rsidR="00F557A1">
        <w:rPr>
          <w:rFonts w:eastAsia="Times" w:cs="Times New Roman"/>
          <w:szCs w:val="24"/>
          <w:lang w:val="en-AU"/>
        </w:rPr>
        <w:t>, with clear ‘rules’ about the use and sharing of such data</w:t>
      </w:r>
      <w:r w:rsidRPr="001D3B96">
        <w:rPr>
          <w:rFonts w:eastAsia="Times" w:cs="Times New Roman"/>
          <w:szCs w:val="24"/>
          <w:lang w:val="en-AU"/>
        </w:rPr>
        <w:t>.</w:t>
      </w:r>
    </w:p>
    <w:p w:rsidR="00C4048A" w:rsidRPr="001D3B96" w:rsidRDefault="00C4048A" w:rsidP="00C4048A">
      <w:pPr>
        <w:pStyle w:val="ListParagraph"/>
        <w:numPr>
          <w:ilvl w:val="0"/>
          <w:numId w:val="2"/>
        </w:numPr>
        <w:jc w:val="both"/>
        <w:rPr>
          <w:rFonts w:eastAsia="Times" w:cs="Times New Roman"/>
          <w:szCs w:val="24"/>
          <w:lang w:val="en-AU"/>
        </w:rPr>
      </w:pPr>
      <w:r w:rsidRPr="001D3B96">
        <w:rPr>
          <w:rFonts w:eastAsia="Times" w:cs="Times New Roman"/>
          <w:szCs w:val="24"/>
          <w:lang w:val="en-AU"/>
        </w:rPr>
        <w:t>Victoria has some of the best academic health centres and research institutes in the country. There is a strong desire to leverage current investment to become a lead innovator in this space.</w:t>
      </w:r>
    </w:p>
    <w:p w:rsidR="001D3B96" w:rsidRPr="00921338" w:rsidRDefault="00C4048A" w:rsidP="001D3B96">
      <w:pPr>
        <w:pStyle w:val="ListParagraph"/>
        <w:numPr>
          <w:ilvl w:val="0"/>
          <w:numId w:val="2"/>
        </w:numPr>
        <w:jc w:val="both"/>
        <w:rPr>
          <w:rFonts w:ascii="Arial" w:eastAsia="Times" w:hAnsi="Arial" w:cs="Times New Roman"/>
          <w:sz w:val="20"/>
          <w:szCs w:val="20"/>
        </w:rPr>
      </w:pPr>
      <w:r w:rsidRPr="001D3B96">
        <w:rPr>
          <w:rFonts w:eastAsia="Times" w:cs="Times New Roman"/>
          <w:szCs w:val="24"/>
        </w:rPr>
        <w:t xml:space="preserve">The </w:t>
      </w:r>
      <w:r w:rsidR="00D83F93">
        <w:rPr>
          <w:rFonts w:eastAsia="Times" w:cs="Times New Roman"/>
          <w:szCs w:val="24"/>
        </w:rPr>
        <w:t xml:space="preserve">genetics </w:t>
      </w:r>
      <w:r w:rsidRPr="001D3B96">
        <w:rPr>
          <w:rFonts w:eastAsia="Times" w:cs="Times New Roman"/>
          <w:szCs w:val="24"/>
        </w:rPr>
        <w:t xml:space="preserve">technology landscape is evolving rapidly. Clinicians and researchers will benefit from clear guidelines and frameworks to support innovation, best clinical practice and world leading research. </w:t>
      </w:r>
    </w:p>
    <w:p w:rsidR="00592C77" w:rsidRPr="00E9676C" w:rsidRDefault="00093ADF" w:rsidP="00E9676C">
      <w:pPr>
        <w:pStyle w:val="ListParagraph"/>
        <w:numPr>
          <w:ilvl w:val="0"/>
          <w:numId w:val="2"/>
        </w:numPr>
        <w:spacing w:after="0" w:line="240" w:lineRule="auto"/>
        <w:ind w:left="357" w:hanging="357"/>
        <w:jc w:val="both"/>
        <w:rPr>
          <w:rFonts w:eastAsia="Times" w:cs="Times New Roman"/>
          <w:szCs w:val="24"/>
        </w:rPr>
      </w:pPr>
      <w:r>
        <w:rPr>
          <w:rFonts w:eastAsia="Times" w:cs="Times New Roman"/>
          <w:szCs w:val="24"/>
        </w:rPr>
        <w:t xml:space="preserve">Microbial sequencing is rapidly replacing traditional laboratory methods used to identify and characterise pathogens. </w:t>
      </w:r>
    </w:p>
    <w:p w:rsidR="00693A30" w:rsidRPr="009376BD" w:rsidRDefault="00693A30" w:rsidP="009376BD">
      <w:pPr>
        <w:spacing w:after="0" w:line="240" w:lineRule="auto"/>
        <w:jc w:val="both"/>
        <w:rPr>
          <w:rFonts w:eastAsia="Times" w:cs="Times New Roman"/>
          <w:szCs w:val="24"/>
        </w:rPr>
      </w:pPr>
    </w:p>
    <w:p w:rsidR="008F4F64" w:rsidRPr="00921338" w:rsidRDefault="008F4F64" w:rsidP="00921338">
      <w:pPr>
        <w:pStyle w:val="DHSNumberText"/>
        <w:numPr>
          <w:ilvl w:val="0"/>
          <w:numId w:val="0"/>
        </w:numPr>
        <w:pBdr>
          <w:top w:val="single" w:sz="4" w:space="1" w:color="auto"/>
          <w:left w:val="single" w:sz="4" w:space="4" w:color="auto"/>
          <w:bottom w:val="single" w:sz="4" w:space="1" w:color="auto"/>
          <w:right w:val="single" w:sz="4" w:space="4" w:color="auto"/>
        </w:pBdr>
        <w:rPr>
          <w:b/>
          <w:szCs w:val="24"/>
        </w:rPr>
      </w:pPr>
      <w:r w:rsidRPr="00921338">
        <w:rPr>
          <w:b/>
          <w:szCs w:val="24"/>
        </w:rPr>
        <w:t>Vignette 2</w:t>
      </w:r>
    </w:p>
    <w:p w:rsidR="0054288F" w:rsidRPr="009376BD" w:rsidRDefault="008F4F64" w:rsidP="00921338">
      <w:pPr>
        <w:pStyle w:val="DHHSbody"/>
        <w:pBdr>
          <w:top w:val="single" w:sz="4" w:space="1" w:color="auto"/>
          <w:left w:val="single" w:sz="4" w:space="4" w:color="auto"/>
          <w:bottom w:val="single" w:sz="4" w:space="1" w:color="auto"/>
          <w:right w:val="single" w:sz="4" w:space="4" w:color="auto"/>
        </w:pBdr>
        <w:jc w:val="both"/>
        <w:rPr>
          <w:rFonts w:asciiTheme="minorHAnsi" w:hAnsiTheme="minorHAnsi"/>
          <w:sz w:val="22"/>
          <w:szCs w:val="24"/>
        </w:rPr>
      </w:pPr>
      <w:r w:rsidRPr="00921338">
        <w:rPr>
          <w:rFonts w:asciiTheme="minorHAnsi" w:hAnsiTheme="minorHAnsi"/>
          <w:sz w:val="22"/>
          <w:szCs w:val="24"/>
        </w:rPr>
        <w:t xml:space="preserve">A 27 year old </w:t>
      </w:r>
      <w:r w:rsidR="00F2216A">
        <w:rPr>
          <w:rFonts w:asciiTheme="minorHAnsi" w:hAnsiTheme="minorHAnsi"/>
          <w:sz w:val="22"/>
          <w:szCs w:val="24"/>
        </w:rPr>
        <w:t>man</w:t>
      </w:r>
      <w:r w:rsidRPr="00921338">
        <w:rPr>
          <w:rFonts w:asciiTheme="minorHAnsi" w:hAnsiTheme="minorHAnsi"/>
          <w:sz w:val="22"/>
          <w:szCs w:val="24"/>
        </w:rPr>
        <w:t xml:space="preserve"> diagnosed as HIV positive</w:t>
      </w:r>
      <w:r w:rsidR="00F2216A">
        <w:rPr>
          <w:rFonts w:asciiTheme="minorHAnsi" w:hAnsiTheme="minorHAnsi"/>
          <w:sz w:val="22"/>
          <w:szCs w:val="24"/>
        </w:rPr>
        <w:t xml:space="preserve"> has </w:t>
      </w:r>
      <w:r w:rsidRPr="00921338">
        <w:rPr>
          <w:rFonts w:asciiTheme="minorHAnsi" w:hAnsiTheme="minorHAnsi"/>
          <w:sz w:val="22"/>
          <w:szCs w:val="24"/>
        </w:rPr>
        <w:t xml:space="preserve">therapy </w:t>
      </w:r>
      <w:r w:rsidR="00F2216A">
        <w:rPr>
          <w:rFonts w:asciiTheme="minorHAnsi" w:hAnsiTheme="minorHAnsi"/>
          <w:sz w:val="22"/>
          <w:szCs w:val="24"/>
        </w:rPr>
        <w:t xml:space="preserve">that includes the </w:t>
      </w:r>
      <w:r w:rsidRPr="00921338">
        <w:rPr>
          <w:rFonts w:asciiTheme="minorHAnsi" w:hAnsiTheme="minorHAnsi"/>
          <w:sz w:val="22"/>
          <w:szCs w:val="24"/>
        </w:rPr>
        <w:t>drug Abacavir</w:t>
      </w:r>
      <w:r w:rsidR="009F18CD">
        <w:rPr>
          <w:rFonts w:asciiTheme="minorHAnsi" w:hAnsiTheme="minorHAnsi"/>
          <w:sz w:val="22"/>
          <w:szCs w:val="24"/>
        </w:rPr>
        <w:t>,</w:t>
      </w:r>
      <w:r w:rsidRPr="00921338">
        <w:rPr>
          <w:rFonts w:asciiTheme="minorHAnsi" w:hAnsiTheme="minorHAnsi"/>
          <w:sz w:val="22"/>
          <w:szCs w:val="24"/>
        </w:rPr>
        <w:t xml:space="preserve"> which </w:t>
      </w:r>
      <w:r w:rsidR="00F2216A">
        <w:rPr>
          <w:rFonts w:asciiTheme="minorHAnsi" w:hAnsiTheme="minorHAnsi"/>
          <w:sz w:val="22"/>
          <w:szCs w:val="24"/>
        </w:rPr>
        <w:t xml:space="preserve">can </w:t>
      </w:r>
      <w:r w:rsidRPr="00921338">
        <w:rPr>
          <w:rFonts w:asciiTheme="minorHAnsi" w:hAnsiTheme="minorHAnsi"/>
          <w:sz w:val="22"/>
          <w:szCs w:val="24"/>
        </w:rPr>
        <w:t>cause serious adverse reactions in some patients</w:t>
      </w:r>
      <w:r w:rsidR="00F2216A">
        <w:rPr>
          <w:rFonts w:asciiTheme="minorHAnsi" w:hAnsiTheme="minorHAnsi"/>
          <w:sz w:val="22"/>
          <w:szCs w:val="24"/>
        </w:rPr>
        <w:t>; this is linked to a</w:t>
      </w:r>
      <w:r w:rsidRPr="00921338">
        <w:rPr>
          <w:rFonts w:asciiTheme="minorHAnsi" w:hAnsiTheme="minorHAnsi"/>
          <w:sz w:val="22"/>
          <w:szCs w:val="24"/>
        </w:rPr>
        <w:t xml:space="preserve"> particular immune system gene, HLA B*57:01</w:t>
      </w:r>
      <w:r w:rsidR="002072BD">
        <w:rPr>
          <w:rFonts w:asciiTheme="minorHAnsi" w:hAnsiTheme="minorHAnsi"/>
          <w:sz w:val="22"/>
          <w:szCs w:val="24"/>
        </w:rPr>
        <w:t xml:space="preserve">, </w:t>
      </w:r>
      <w:r w:rsidRPr="00921338">
        <w:rPr>
          <w:rFonts w:asciiTheme="minorHAnsi" w:hAnsiTheme="minorHAnsi"/>
          <w:sz w:val="22"/>
          <w:szCs w:val="24"/>
        </w:rPr>
        <w:t>which reacts with the drug metabolites. Pre-screening patients for the HLA B*57:01 has eliminated the risk of adverse reaction and enables the appropriate therapy to be prescribed.</w:t>
      </w:r>
    </w:p>
    <w:p w:rsidR="00396410" w:rsidRDefault="00F65DCC" w:rsidP="00E111EE">
      <w:pPr>
        <w:pStyle w:val="Heading1"/>
        <w:spacing w:after="240"/>
      </w:pPr>
      <w:bookmarkStart w:id="16" w:name="_Toc458511938"/>
      <w:r>
        <w:lastRenderedPageBreak/>
        <w:t xml:space="preserve">Key </w:t>
      </w:r>
      <w:r w:rsidR="00990DF4">
        <w:t>factors</w:t>
      </w:r>
      <w:bookmarkEnd w:id="16"/>
    </w:p>
    <w:p w:rsidR="004D6DB2" w:rsidRPr="00466CEB" w:rsidRDefault="004D6DB2" w:rsidP="00CE7403">
      <w:pPr>
        <w:pStyle w:val="DHSNumberText"/>
        <w:numPr>
          <w:ilvl w:val="0"/>
          <w:numId w:val="0"/>
        </w:numPr>
        <w:rPr>
          <w:rFonts w:asciiTheme="minorHAnsi" w:hAnsiTheme="minorHAnsi"/>
          <w:szCs w:val="22"/>
        </w:rPr>
      </w:pPr>
      <w:r w:rsidRPr="00466CEB">
        <w:rPr>
          <w:rFonts w:asciiTheme="minorHAnsi" w:hAnsiTheme="minorHAnsi"/>
          <w:szCs w:val="22"/>
        </w:rPr>
        <w:t xml:space="preserve">A number of </w:t>
      </w:r>
      <w:r w:rsidR="00E910B6" w:rsidRPr="00466CEB">
        <w:rPr>
          <w:rFonts w:asciiTheme="minorHAnsi" w:hAnsiTheme="minorHAnsi"/>
          <w:szCs w:val="22"/>
        </w:rPr>
        <w:t xml:space="preserve">already identified </w:t>
      </w:r>
      <w:r w:rsidR="00990DF4">
        <w:rPr>
          <w:rFonts w:asciiTheme="minorHAnsi" w:hAnsiTheme="minorHAnsi"/>
          <w:szCs w:val="22"/>
        </w:rPr>
        <w:t>factors</w:t>
      </w:r>
      <w:r w:rsidR="00990DF4" w:rsidRPr="00466CEB">
        <w:rPr>
          <w:rFonts w:asciiTheme="minorHAnsi" w:hAnsiTheme="minorHAnsi"/>
          <w:szCs w:val="22"/>
        </w:rPr>
        <w:t xml:space="preserve"> </w:t>
      </w:r>
      <w:r w:rsidRPr="00466CEB">
        <w:rPr>
          <w:rFonts w:asciiTheme="minorHAnsi" w:hAnsiTheme="minorHAnsi"/>
          <w:szCs w:val="22"/>
        </w:rPr>
        <w:t xml:space="preserve">likely to impact genetic and genomic healthcare </w:t>
      </w:r>
      <w:r w:rsidR="00B323B1" w:rsidRPr="00466CEB">
        <w:rPr>
          <w:rFonts w:asciiTheme="minorHAnsi" w:hAnsiTheme="minorHAnsi"/>
          <w:szCs w:val="22"/>
        </w:rPr>
        <w:t xml:space="preserve">provision </w:t>
      </w:r>
      <w:r w:rsidR="00F65DCC" w:rsidRPr="00466CEB">
        <w:rPr>
          <w:rFonts w:asciiTheme="minorHAnsi" w:hAnsiTheme="minorHAnsi"/>
          <w:szCs w:val="22"/>
        </w:rPr>
        <w:t>over the next ten years</w:t>
      </w:r>
      <w:r w:rsidR="00E910B6" w:rsidRPr="00466CEB">
        <w:rPr>
          <w:rFonts w:asciiTheme="minorHAnsi" w:hAnsiTheme="minorHAnsi"/>
          <w:szCs w:val="22"/>
        </w:rPr>
        <w:t xml:space="preserve"> can </w:t>
      </w:r>
      <w:r w:rsidR="00F65DCC" w:rsidRPr="00466CEB">
        <w:rPr>
          <w:rFonts w:asciiTheme="minorHAnsi" w:hAnsiTheme="minorHAnsi"/>
          <w:szCs w:val="22"/>
        </w:rPr>
        <w:t xml:space="preserve">be broadly </w:t>
      </w:r>
      <w:r w:rsidR="00241B6B" w:rsidRPr="00466CEB">
        <w:rPr>
          <w:rFonts w:asciiTheme="minorHAnsi" w:hAnsiTheme="minorHAnsi"/>
          <w:szCs w:val="22"/>
        </w:rPr>
        <w:t>grouped</w:t>
      </w:r>
      <w:r w:rsidR="00F65DCC" w:rsidRPr="00466CEB">
        <w:rPr>
          <w:rFonts w:asciiTheme="minorHAnsi" w:hAnsiTheme="minorHAnsi"/>
          <w:szCs w:val="22"/>
        </w:rPr>
        <w:t xml:space="preserve"> as</w:t>
      </w:r>
      <w:r w:rsidRPr="00466CEB">
        <w:rPr>
          <w:rFonts w:asciiTheme="minorHAnsi" w:hAnsiTheme="minorHAnsi"/>
          <w:szCs w:val="22"/>
        </w:rPr>
        <w:t>:</w:t>
      </w:r>
    </w:p>
    <w:p w:rsidR="00C021B2" w:rsidRDefault="00C021B2" w:rsidP="00CE7403">
      <w:pPr>
        <w:pStyle w:val="ListParagraph"/>
        <w:numPr>
          <w:ilvl w:val="0"/>
          <w:numId w:val="2"/>
        </w:numPr>
        <w:jc w:val="both"/>
        <w:rPr>
          <w:rFonts w:eastAsia="Times" w:cs="Times New Roman"/>
          <w:lang w:val="en-AU"/>
        </w:rPr>
      </w:pPr>
      <w:r>
        <w:rPr>
          <w:rFonts w:eastAsia="Times" w:cs="Times New Roman"/>
          <w:lang w:val="en-AU"/>
        </w:rPr>
        <w:t>Models of care and service system capacity</w:t>
      </w:r>
      <w:r w:rsidR="00D411FF">
        <w:rPr>
          <w:rFonts w:eastAsia="Times" w:cs="Times New Roman"/>
          <w:lang w:val="en-AU"/>
        </w:rPr>
        <w:t xml:space="preserve"> and capability</w:t>
      </w:r>
    </w:p>
    <w:p w:rsidR="00000582" w:rsidRPr="00466CEB" w:rsidRDefault="00000582" w:rsidP="00CE7403">
      <w:pPr>
        <w:pStyle w:val="ListParagraph"/>
        <w:numPr>
          <w:ilvl w:val="0"/>
          <w:numId w:val="2"/>
        </w:numPr>
        <w:jc w:val="both"/>
        <w:rPr>
          <w:rFonts w:eastAsia="Times" w:cs="Times New Roman"/>
          <w:lang w:val="en-AU"/>
        </w:rPr>
      </w:pPr>
      <w:r w:rsidRPr="00466CEB">
        <w:rPr>
          <w:rFonts w:eastAsia="Times" w:cs="Times New Roman"/>
          <w:lang w:val="en-AU"/>
        </w:rPr>
        <w:t xml:space="preserve">Literacy – public, </w:t>
      </w:r>
      <w:r w:rsidR="006445BD">
        <w:rPr>
          <w:rFonts w:eastAsia="Times" w:cs="Times New Roman"/>
          <w:lang w:val="en-AU"/>
        </w:rPr>
        <w:t xml:space="preserve">health </w:t>
      </w:r>
      <w:r w:rsidR="00B00D93">
        <w:rPr>
          <w:rFonts w:eastAsia="Times" w:cs="Times New Roman"/>
          <w:lang w:val="en-AU"/>
        </w:rPr>
        <w:t xml:space="preserve">professionals </w:t>
      </w:r>
    </w:p>
    <w:p w:rsidR="00000582" w:rsidRPr="00466CEB" w:rsidRDefault="00B323B1" w:rsidP="00CE7403">
      <w:pPr>
        <w:pStyle w:val="ListParagraph"/>
        <w:numPr>
          <w:ilvl w:val="0"/>
          <w:numId w:val="2"/>
        </w:numPr>
        <w:jc w:val="both"/>
        <w:rPr>
          <w:rFonts w:eastAsia="Times" w:cs="Times New Roman"/>
          <w:lang w:val="en-AU"/>
        </w:rPr>
      </w:pPr>
      <w:r w:rsidRPr="00466CEB">
        <w:rPr>
          <w:rFonts w:eastAsia="Times" w:cs="Times New Roman"/>
          <w:lang w:val="en-AU"/>
        </w:rPr>
        <w:t>P</w:t>
      </w:r>
      <w:r w:rsidR="00000582" w:rsidRPr="00466CEB">
        <w:rPr>
          <w:rFonts w:eastAsia="Times" w:cs="Times New Roman"/>
          <w:lang w:val="en-AU"/>
        </w:rPr>
        <w:t xml:space="preserve">ersonalised </w:t>
      </w:r>
      <w:r w:rsidR="00241B6B" w:rsidRPr="00466CEB">
        <w:rPr>
          <w:rFonts w:eastAsia="Times" w:cs="Times New Roman"/>
          <w:lang w:val="en-AU"/>
        </w:rPr>
        <w:t xml:space="preserve">(precision) </w:t>
      </w:r>
      <w:r w:rsidR="00000582" w:rsidRPr="00466CEB">
        <w:rPr>
          <w:rFonts w:eastAsia="Times" w:cs="Times New Roman"/>
          <w:lang w:val="en-AU"/>
        </w:rPr>
        <w:t>medicine</w:t>
      </w:r>
      <w:r w:rsidR="00881442">
        <w:rPr>
          <w:rFonts w:eastAsia="Times" w:cs="Times New Roman"/>
          <w:lang w:val="en-AU"/>
        </w:rPr>
        <w:t xml:space="preserve"> including personalised prevention</w:t>
      </w:r>
      <w:r w:rsidR="006445BD">
        <w:rPr>
          <w:rStyle w:val="FootnoteReference"/>
          <w:rFonts w:eastAsia="Times" w:cs="Times New Roman"/>
          <w:lang w:val="en-AU"/>
        </w:rPr>
        <w:footnoteReference w:id="4"/>
      </w:r>
    </w:p>
    <w:p w:rsidR="00000582" w:rsidRPr="00466CEB" w:rsidRDefault="00000582" w:rsidP="00CE7403">
      <w:pPr>
        <w:pStyle w:val="ListParagraph"/>
        <w:numPr>
          <w:ilvl w:val="0"/>
          <w:numId w:val="2"/>
        </w:numPr>
        <w:jc w:val="both"/>
        <w:rPr>
          <w:rFonts w:eastAsia="Times" w:cs="Times New Roman"/>
          <w:lang w:val="en-AU"/>
        </w:rPr>
      </w:pPr>
      <w:r w:rsidRPr="00466CEB">
        <w:rPr>
          <w:rFonts w:eastAsia="Times" w:cs="Times New Roman"/>
          <w:lang w:val="en-AU"/>
        </w:rPr>
        <w:t>Co-productive healthcare</w:t>
      </w:r>
      <w:r w:rsidR="00380248">
        <w:rPr>
          <w:rStyle w:val="FootnoteReference"/>
          <w:rFonts w:eastAsia="Times" w:cs="Times New Roman"/>
          <w:lang w:val="en-AU"/>
        </w:rPr>
        <w:footnoteReference w:id="5"/>
      </w:r>
    </w:p>
    <w:p w:rsidR="00000582" w:rsidRDefault="00000582" w:rsidP="00CE7403">
      <w:pPr>
        <w:pStyle w:val="ListParagraph"/>
        <w:numPr>
          <w:ilvl w:val="0"/>
          <w:numId w:val="2"/>
        </w:numPr>
        <w:jc w:val="both"/>
        <w:rPr>
          <w:rFonts w:eastAsia="Times" w:cs="Times New Roman"/>
          <w:lang w:val="en-AU"/>
        </w:rPr>
      </w:pPr>
      <w:r w:rsidRPr="00466CEB">
        <w:rPr>
          <w:rFonts w:eastAsia="Times" w:cs="Times New Roman"/>
          <w:lang w:val="en-AU"/>
        </w:rPr>
        <w:t xml:space="preserve">Ethical, legal and social issues associated with genetic and genomic </w:t>
      </w:r>
      <w:r w:rsidR="00241B6B" w:rsidRPr="00466CEB">
        <w:rPr>
          <w:rFonts w:eastAsia="Times" w:cs="Times New Roman"/>
          <w:lang w:val="en-AU"/>
        </w:rPr>
        <w:t>information</w:t>
      </w:r>
    </w:p>
    <w:p w:rsidR="00F65DCC" w:rsidRPr="00466CEB" w:rsidRDefault="00000582" w:rsidP="00CE7403">
      <w:pPr>
        <w:pStyle w:val="ListParagraph"/>
        <w:numPr>
          <w:ilvl w:val="0"/>
          <w:numId w:val="2"/>
        </w:numPr>
        <w:jc w:val="both"/>
        <w:rPr>
          <w:rFonts w:eastAsia="Times" w:cs="Times New Roman"/>
          <w:lang w:val="en-AU"/>
        </w:rPr>
      </w:pPr>
      <w:r w:rsidRPr="00466CEB">
        <w:rPr>
          <w:rFonts w:eastAsia="Times" w:cs="Times New Roman"/>
          <w:lang w:val="en-AU"/>
        </w:rPr>
        <w:t xml:space="preserve">Value for money – healthcare needs to be </w:t>
      </w:r>
      <w:r w:rsidR="00E910B6">
        <w:rPr>
          <w:rFonts w:eastAsia="Times" w:cs="Times New Roman"/>
          <w:lang w:val="en-AU"/>
        </w:rPr>
        <w:t xml:space="preserve">safe, high quality, </w:t>
      </w:r>
      <w:r w:rsidRPr="00466CEB">
        <w:rPr>
          <w:rFonts w:eastAsia="Times" w:cs="Times New Roman"/>
          <w:lang w:val="en-AU"/>
        </w:rPr>
        <w:t xml:space="preserve">evidence-based, </w:t>
      </w:r>
      <w:r w:rsidR="00F50923" w:rsidRPr="00466CEB">
        <w:rPr>
          <w:rFonts w:eastAsia="Times" w:cs="Times New Roman"/>
          <w:lang w:val="en-AU"/>
        </w:rPr>
        <w:t xml:space="preserve">clinically </w:t>
      </w:r>
      <w:r w:rsidRPr="00466CEB">
        <w:rPr>
          <w:rFonts w:eastAsia="Times" w:cs="Times New Roman"/>
          <w:lang w:val="en-AU"/>
        </w:rPr>
        <w:t>effective and cost effective.</w:t>
      </w:r>
    </w:p>
    <w:p w:rsidR="00F65DCC" w:rsidRDefault="00E910B6" w:rsidP="00B22D82">
      <w:pPr>
        <w:pStyle w:val="DHSNumberText"/>
        <w:numPr>
          <w:ilvl w:val="0"/>
          <w:numId w:val="0"/>
        </w:numPr>
        <w:rPr>
          <w:rFonts w:asciiTheme="minorHAnsi" w:hAnsiTheme="minorHAnsi"/>
          <w:szCs w:val="22"/>
        </w:rPr>
      </w:pPr>
      <w:r w:rsidRPr="00466CEB">
        <w:rPr>
          <w:rFonts w:asciiTheme="minorHAnsi" w:hAnsiTheme="minorHAnsi"/>
          <w:szCs w:val="22"/>
        </w:rPr>
        <w:t>T</w:t>
      </w:r>
      <w:r w:rsidR="00F65DCC" w:rsidRPr="00466CEB">
        <w:rPr>
          <w:rFonts w:asciiTheme="minorHAnsi" w:hAnsiTheme="minorHAnsi"/>
          <w:szCs w:val="22"/>
        </w:rPr>
        <w:t xml:space="preserve">hese </w:t>
      </w:r>
      <w:r w:rsidR="00855B34">
        <w:rPr>
          <w:rFonts w:asciiTheme="minorHAnsi" w:hAnsiTheme="minorHAnsi"/>
          <w:szCs w:val="22"/>
        </w:rPr>
        <w:t>factors</w:t>
      </w:r>
      <w:r w:rsidR="00855B34" w:rsidRPr="00466CEB">
        <w:rPr>
          <w:rFonts w:asciiTheme="minorHAnsi" w:hAnsiTheme="minorHAnsi"/>
          <w:szCs w:val="22"/>
        </w:rPr>
        <w:t xml:space="preserve"> </w:t>
      </w:r>
      <w:r w:rsidR="00F65DCC" w:rsidRPr="00466CEB">
        <w:rPr>
          <w:rFonts w:asciiTheme="minorHAnsi" w:hAnsiTheme="minorHAnsi"/>
          <w:szCs w:val="22"/>
        </w:rPr>
        <w:t>are expected to profoundly impact genetic and genomic healthcare provision over the next ten years.</w:t>
      </w:r>
    </w:p>
    <w:p w:rsidR="00693A30" w:rsidRPr="009376BD" w:rsidRDefault="00693A30" w:rsidP="009376BD">
      <w:pPr>
        <w:spacing w:after="0" w:line="240" w:lineRule="auto"/>
        <w:jc w:val="both"/>
        <w:rPr>
          <w:rFonts w:eastAsia="Times" w:cs="Times New Roman"/>
          <w:szCs w:val="24"/>
        </w:rPr>
      </w:pPr>
    </w:p>
    <w:p w:rsidR="00D63716" w:rsidRDefault="00D63716" w:rsidP="00D63716">
      <w:pPr>
        <w:pStyle w:val="DHSNumberText"/>
        <w:numPr>
          <w:ilvl w:val="0"/>
          <w:numId w:val="0"/>
        </w:numPr>
        <w:pBdr>
          <w:top w:val="single" w:sz="4" w:space="1" w:color="auto"/>
          <w:left w:val="single" w:sz="4" w:space="4" w:color="auto"/>
          <w:bottom w:val="single" w:sz="4" w:space="0" w:color="auto"/>
          <w:right w:val="single" w:sz="4" w:space="4" w:color="auto"/>
        </w:pBdr>
        <w:rPr>
          <w:b/>
          <w:szCs w:val="24"/>
        </w:rPr>
      </w:pPr>
      <w:r w:rsidRPr="00137D60">
        <w:rPr>
          <w:b/>
          <w:szCs w:val="24"/>
        </w:rPr>
        <w:t>Vignette 3</w:t>
      </w:r>
    </w:p>
    <w:p w:rsidR="00D63716" w:rsidRPr="00410149" w:rsidDel="00AF0E72" w:rsidRDefault="00D63716" w:rsidP="009376BD">
      <w:pPr>
        <w:pStyle w:val="DHHSbody"/>
        <w:pBdr>
          <w:top w:val="single" w:sz="4" w:space="1" w:color="auto"/>
          <w:left w:val="single" w:sz="4" w:space="4" w:color="auto"/>
          <w:bottom w:val="single" w:sz="4" w:space="0" w:color="auto"/>
          <w:right w:val="single" w:sz="4" w:space="4" w:color="auto"/>
        </w:pBdr>
        <w:spacing w:line="240" w:lineRule="auto"/>
        <w:jc w:val="both"/>
        <w:rPr>
          <w:rFonts w:asciiTheme="minorHAnsi" w:hAnsiTheme="minorHAnsi"/>
          <w:sz w:val="22"/>
          <w:szCs w:val="24"/>
        </w:rPr>
      </w:pPr>
      <w:r w:rsidRPr="00137D60">
        <w:rPr>
          <w:rFonts w:asciiTheme="minorHAnsi" w:hAnsiTheme="minorHAnsi"/>
          <w:sz w:val="22"/>
          <w:szCs w:val="24"/>
        </w:rPr>
        <w:t>Between 2014 and 2015</w:t>
      </w:r>
      <w:r>
        <w:rPr>
          <w:rFonts w:asciiTheme="minorHAnsi" w:hAnsiTheme="minorHAnsi"/>
          <w:sz w:val="22"/>
          <w:szCs w:val="24"/>
        </w:rPr>
        <w:t>,</w:t>
      </w:r>
      <w:r w:rsidRPr="00137D60">
        <w:rPr>
          <w:rFonts w:asciiTheme="minorHAnsi" w:hAnsiTheme="minorHAnsi"/>
          <w:sz w:val="22"/>
          <w:szCs w:val="24"/>
        </w:rPr>
        <w:t xml:space="preserve"> increasing numbers of the critical antibiotic-resist</w:t>
      </w:r>
      <w:r>
        <w:rPr>
          <w:rFonts w:asciiTheme="minorHAnsi" w:hAnsiTheme="minorHAnsi"/>
          <w:sz w:val="22"/>
          <w:szCs w:val="24"/>
        </w:rPr>
        <w:t>a</w:t>
      </w:r>
      <w:r w:rsidRPr="00137D60">
        <w:rPr>
          <w:rFonts w:asciiTheme="minorHAnsi" w:hAnsiTheme="minorHAnsi"/>
          <w:sz w:val="22"/>
          <w:szCs w:val="24"/>
        </w:rPr>
        <w:t xml:space="preserve">nt </w:t>
      </w:r>
      <w:r>
        <w:rPr>
          <w:rFonts w:asciiTheme="minorHAnsi" w:hAnsiTheme="minorHAnsi"/>
          <w:sz w:val="22"/>
          <w:szCs w:val="24"/>
        </w:rPr>
        <w:t xml:space="preserve">bacteria carbapenem-producing </w:t>
      </w:r>
      <w:r>
        <w:rPr>
          <w:rFonts w:asciiTheme="minorHAnsi" w:hAnsiTheme="minorHAnsi"/>
          <w:i/>
          <w:sz w:val="22"/>
          <w:szCs w:val="24"/>
        </w:rPr>
        <w:t>Klebsiella pneumoniae</w:t>
      </w:r>
      <w:r>
        <w:rPr>
          <w:rFonts w:asciiTheme="minorHAnsi" w:hAnsiTheme="minorHAnsi"/>
          <w:sz w:val="22"/>
          <w:szCs w:val="24"/>
        </w:rPr>
        <w:t xml:space="preserve"> (CPE) were referred to the Molecular Diagnostic Unit Public Health Laboratory (MDU PHL) in Victoria.  It was unclear if these cases were being imported from overseas or if the pathogen was spreading within Victorian hospitals.  Using whole genome sequencing, MDU PHL was able to demonstrate a number of genomic transmission networks, which were then completely validated using detailed epidemiological investigation.  The use of highly specialised long-read sequencing was also able to demonstrate the transfer of resistance elements between bacterial species.  Combined whole genome sequencing analysis and epidemiological investigation is now applied to all new cases of CPE in Victoria.  This work demonstrated the power of genomic sequencing to reveal transmission networks of drug-resistant bacteria within the hospital environment and between facilities, resulting in targeted interventions to curtail spread of the pathogen.</w:t>
      </w:r>
    </w:p>
    <w:p w:rsidR="00B22D82" w:rsidRDefault="00B22D82" w:rsidP="00B22D82">
      <w:pPr>
        <w:pStyle w:val="DHSNumberText"/>
        <w:numPr>
          <w:ilvl w:val="0"/>
          <w:numId w:val="0"/>
        </w:numPr>
        <w:jc w:val="left"/>
        <w:rPr>
          <w:sz w:val="24"/>
          <w:szCs w:val="24"/>
        </w:rPr>
      </w:pPr>
    </w:p>
    <w:p w:rsidR="00B22D82" w:rsidRPr="00921338" w:rsidRDefault="00592C77" w:rsidP="00CC7DBD">
      <w:pPr>
        <w:pStyle w:val="DHSNumberText"/>
        <w:numPr>
          <w:ilvl w:val="0"/>
          <w:numId w:val="0"/>
        </w:numPr>
        <w:pBdr>
          <w:top w:val="single" w:sz="4" w:space="1" w:color="auto"/>
          <w:left w:val="single" w:sz="4" w:space="4" w:color="auto"/>
          <w:bottom w:val="single" w:sz="4" w:space="1" w:color="auto"/>
          <w:right w:val="single" w:sz="4" w:space="4" w:color="auto"/>
        </w:pBdr>
        <w:jc w:val="center"/>
        <w:rPr>
          <w:rFonts w:asciiTheme="minorHAnsi" w:hAnsiTheme="minorHAnsi"/>
          <w:b/>
          <w:i/>
          <w:szCs w:val="24"/>
        </w:rPr>
      </w:pPr>
      <w:r>
        <w:rPr>
          <w:rFonts w:asciiTheme="minorHAnsi" w:hAnsiTheme="minorHAnsi"/>
          <w:b/>
          <w:i/>
          <w:szCs w:val="24"/>
        </w:rPr>
        <w:t xml:space="preserve">Q1. </w:t>
      </w:r>
      <w:r w:rsidR="008F4F64" w:rsidRPr="00921338">
        <w:rPr>
          <w:rFonts w:asciiTheme="minorHAnsi" w:hAnsiTheme="minorHAnsi"/>
          <w:b/>
          <w:i/>
          <w:szCs w:val="24"/>
        </w:rPr>
        <w:t>Are there other factors</w:t>
      </w:r>
      <w:r w:rsidR="00855B34">
        <w:rPr>
          <w:rFonts w:asciiTheme="minorHAnsi" w:hAnsiTheme="minorHAnsi"/>
          <w:b/>
          <w:i/>
          <w:szCs w:val="24"/>
        </w:rPr>
        <w:t>/issues</w:t>
      </w:r>
      <w:r w:rsidR="008F4F64" w:rsidRPr="00921338">
        <w:rPr>
          <w:rFonts w:asciiTheme="minorHAnsi" w:hAnsiTheme="minorHAnsi"/>
          <w:b/>
          <w:i/>
          <w:szCs w:val="24"/>
        </w:rPr>
        <w:t xml:space="preserve"> likely to impact genetic and genomic healthcare that should be considered?  If so, what are they?</w:t>
      </w:r>
    </w:p>
    <w:p w:rsidR="00F50923" w:rsidRDefault="00B22D82" w:rsidP="00466CEB">
      <w:pPr>
        <w:pStyle w:val="Heading1"/>
        <w:spacing w:after="240"/>
      </w:pPr>
      <w:r>
        <w:br w:type="page"/>
      </w:r>
      <w:bookmarkStart w:id="17" w:name="_Toc458511939"/>
      <w:r w:rsidR="002D3058">
        <w:lastRenderedPageBreak/>
        <w:t xml:space="preserve">A </w:t>
      </w:r>
      <w:r w:rsidR="00693A30">
        <w:t xml:space="preserve">new </w:t>
      </w:r>
      <w:r w:rsidR="00722664">
        <w:t>strategy</w:t>
      </w:r>
      <w:r w:rsidR="002D3058">
        <w:t xml:space="preserve"> for Victoria</w:t>
      </w:r>
      <w:bookmarkEnd w:id="17"/>
    </w:p>
    <w:p w:rsidR="00486C74" w:rsidRDefault="00F50923" w:rsidP="00F50923">
      <w:pPr>
        <w:rPr>
          <w:rFonts w:cs="Arial"/>
        </w:rPr>
      </w:pPr>
      <w:r w:rsidRPr="00466CEB">
        <w:rPr>
          <w:rFonts w:cs="Arial"/>
        </w:rPr>
        <w:t xml:space="preserve">The Victorian </w:t>
      </w:r>
      <w:r w:rsidR="008618D0" w:rsidRPr="00466CEB">
        <w:rPr>
          <w:rFonts w:cs="Arial"/>
        </w:rPr>
        <w:t>Government believes Victoria’s health system can be a world leader in prevention, innovation and clinical care, and should be accessible to people regardless of age, location or background.</w:t>
      </w:r>
    </w:p>
    <w:p w:rsidR="008618D0" w:rsidRPr="00466CEB" w:rsidRDefault="008618D0" w:rsidP="00F50923">
      <w:pPr>
        <w:rPr>
          <w:rFonts w:cs="Arial"/>
        </w:rPr>
      </w:pPr>
      <w:r w:rsidRPr="00466CEB">
        <w:rPr>
          <w:rFonts w:cs="Arial"/>
        </w:rPr>
        <w:t>The Department of Health and Human Services is committed to delivering on the Government’s vision</w:t>
      </w:r>
      <w:r w:rsidR="00C021B2">
        <w:rPr>
          <w:rFonts w:cs="Arial"/>
        </w:rPr>
        <w:t xml:space="preserve"> and has identified the following </w:t>
      </w:r>
      <w:r w:rsidR="00D63716">
        <w:rPr>
          <w:rFonts w:cs="Arial"/>
        </w:rPr>
        <w:t>core pillars</w:t>
      </w:r>
      <w:r w:rsidR="00C021B2">
        <w:rPr>
          <w:rFonts w:cs="Arial"/>
        </w:rPr>
        <w:t xml:space="preserve"> underpin</w:t>
      </w:r>
      <w:r w:rsidR="00BD71F3">
        <w:rPr>
          <w:rFonts w:cs="Arial"/>
        </w:rPr>
        <w:t>ning</w:t>
      </w:r>
      <w:r w:rsidR="00C021B2" w:rsidRPr="00466CEB">
        <w:rPr>
          <w:rFonts w:cs="Arial"/>
        </w:rPr>
        <w:t xml:space="preserve"> </w:t>
      </w:r>
      <w:r w:rsidR="002D3058" w:rsidRPr="00466CEB">
        <w:rPr>
          <w:rFonts w:cs="Arial"/>
        </w:rPr>
        <w:t xml:space="preserve">a patient-focussed and innovative </w:t>
      </w:r>
      <w:r w:rsidR="00C021B2">
        <w:rPr>
          <w:rFonts w:cs="Arial"/>
        </w:rPr>
        <w:t>healthcare system</w:t>
      </w:r>
      <w:r w:rsidRPr="00466CEB">
        <w:rPr>
          <w:rFonts w:cs="Arial"/>
        </w:rPr>
        <w:t>:</w:t>
      </w:r>
    </w:p>
    <w:p w:rsidR="008618D0" w:rsidRPr="00466CEB" w:rsidRDefault="008618D0" w:rsidP="008618D0">
      <w:pPr>
        <w:pStyle w:val="ListParagraph"/>
        <w:numPr>
          <w:ilvl w:val="0"/>
          <w:numId w:val="2"/>
        </w:numPr>
        <w:jc w:val="both"/>
        <w:rPr>
          <w:rFonts w:eastAsia="Times" w:cs="Times New Roman"/>
          <w:lang w:val="en-AU"/>
        </w:rPr>
      </w:pPr>
      <w:r w:rsidRPr="00466CEB">
        <w:rPr>
          <w:rFonts w:eastAsia="Times" w:cs="Times New Roman"/>
          <w:lang w:val="en-AU"/>
        </w:rPr>
        <w:t>A strong focus on person-centred services</w:t>
      </w:r>
    </w:p>
    <w:p w:rsidR="008618D0" w:rsidRPr="00466CEB" w:rsidRDefault="008618D0" w:rsidP="008618D0">
      <w:pPr>
        <w:pStyle w:val="ListParagraph"/>
        <w:numPr>
          <w:ilvl w:val="0"/>
          <w:numId w:val="2"/>
        </w:numPr>
        <w:jc w:val="both"/>
        <w:rPr>
          <w:rFonts w:eastAsia="Times" w:cs="Times New Roman"/>
          <w:lang w:val="en-AU"/>
        </w:rPr>
      </w:pPr>
      <w:r w:rsidRPr="00466CEB">
        <w:rPr>
          <w:rFonts w:eastAsia="Times" w:cs="Times New Roman"/>
          <w:lang w:val="en-AU"/>
        </w:rPr>
        <w:t>Local solutions</w:t>
      </w:r>
    </w:p>
    <w:p w:rsidR="008618D0" w:rsidRPr="00466CEB" w:rsidRDefault="008618D0" w:rsidP="008618D0">
      <w:pPr>
        <w:pStyle w:val="ListParagraph"/>
        <w:numPr>
          <w:ilvl w:val="0"/>
          <w:numId w:val="2"/>
        </w:numPr>
        <w:jc w:val="both"/>
        <w:rPr>
          <w:rFonts w:eastAsia="Times" w:cs="Times New Roman"/>
          <w:lang w:val="en-AU"/>
        </w:rPr>
      </w:pPr>
      <w:r w:rsidRPr="00466CEB">
        <w:rPr>
          <w:rFonts w:eastAsia="Times" w:cs="Times New Roman"/>
          <w:lang w:val="en-AU"/>
        </w:rPr>
        <w:t>Earlier and more connected support for people</w:t>
      </w:r>
    </w:p>
    <w:p w:rsidR="008618D0" w:rsidRPr="00466CEB" w:rsidRDefault="008618D0" w:rsidP="008618D0">
      <w:pPr>
        <w:pStyle w:val="ListParagraph"/>
        <w:numPr>
          <w:ilvl w:val="0"/>
          <w:numId w:val="2"/>
        </w:numPr>
        <w:jc w:val="both"/>
        <w:rPr>
          <w:rFonts w:eastAsia="Times" w:cs="Times New Roman"/>
          <w:lang w:val="en-AU"/>
        </w:rPr>
      </w:pPr>
      <w:r w:rsidRPr="00466CEB">
        <w:rPr>
          <w:rFonts w:eastAsia="Times" w:cs="Times New Roman"/>
          <w:lang w:val="en-AU"/>
        </w:rPr>
        <w:t>Advancing quality, safety and innovation</w:t>
      </w:r>
      <w:r w:rsidR="00C02426">
        <w:rPr>
          <w:rFonts w:eastAsia="Times" w:cs="Times New Roman"/>
          <w:lang w:val="en-AU"/>
        </w:rPr>
        <w:t>.</w:t>
      </w:r>
    </w:p>
    <w:p w:rsidR="00D34D61" w:rsidRDefault="00AE761E" w:rsidP="008618D0">
      <w:pPr>
        <w:rPr>
          <w:rFonts w:cs="Arial"/>
        </w:rPr>
      </w:pPr>
      <w:r w:rsidRPr="00466CEB">
        <w:rPr>
          <w:rFonts w:cs="Arial"/>
        </w:rPr>
        <w:t xml:space="preserve">Within this broad framework, the following </w:t>
      </w:r>
      <w:r w:rsidR="00D34D61">
        <w:rPr>
          <w:rFonts w:cs="Arial"/>
        </w:rPr>
        <w:t xml:space="preserve">statements </w:t>
      </w:r>
      <w:r w:rsidR="00D34D61" w:rsidRPr="00466CEB">
        <w:rPr>
          <w:rFonts w:cs="Arial"/>
        </w:rPr>
        <w:t xml:space="preserve">have been </w:t>
      </w:r>
      <w:r w:rsidR="00D34D61">
        <w:rPr>
          <w:rFonts w:cs="Arial"/>
        </w:rPr>
        <w:t xml:space="preserve">proposed to prompt feedback regarding how a </w:t>
      </w:r>
      <w:r w:rsidR="00722664">
        <w:rPr>
          <w:rFonts w:cs="Arial"/>
        </w:rPr>
        <w:t>new strategy</w:t>
      </w:r>
      <w:r w:rsidR="00D34D61">
        <w:rPr>
          <w:rFonts w:cs="Arial"/>
        </w:rPr>
        <w:t xml:space="preserve"> might </w:t>
      </w:r>
      <w:r w:rsidR="00D34D61" w:rsidRPr="00466CEB">
        <w:rPr>
          <w:rFonts w:cs="Arial"/>
        </w:rPr>
        <w:t>guide the future direction of genetic and genomic healthcare in Victoria over the next ten years.</w:t>
      </w:r>
    </w:p>
    <w:p w:rsidR="008F4F64" w:rsidRDefault="00F50923" w:rsidP="00921338">
      <w:pPr>
        <w:pStyle w:val="Heading2"/>
      </w:pPr>
      <w:bookmarkStart w:id="18" w:name="_Toc458511940"/>
      <w:r>
        <w:t>Vision</w:t>
      </w:r>
      <w:bookmarkEnd w:id="18"/>
      <w:r>
        <w:t xml:space="preserve"> </w:t>
      </w:r>
      <w:r>
        <w:tab/>
      </w:r>
    </w:p>
    <w:p w:rsidR="00F50923" w:rsidRDefault="00BD71F3" w:rsidP="00F50923">
      <w:pPr>
        <w:rPr>
          <w:rFonts w:cs="Arial"/>
        </w:rPr>
      </w:pPr>
      <w:r>
        <w:rPr>
          <w:rFonts w:cs="Arial"/>
        </w:rPr>
        <w:t>T</w:t>
      </w:r>
      <w:r w:rsidR="00F50923" w:rsidRPr="00466CEB">
        <w:rPr>
          <w:rFonts w:cs="Arial"/>
        </w:rPr>
        <w:t xml:space="preserve">he health of </w:t>
      </w:r>
      <w:r w:rsidR="00845BAD">
        <w:rPr>
          <w:rFonts w:cs="Arial"/>
        </w:rPr>
        <w:t xml:space="preserve">all </w:t>
      </w:r>
      <w:r w:rsidR="00F50923" w:rsidRPr="00466CEB">
        <w:rPr>
          <w:rFonts w:cs="Arial"/>
        </w:rPr>
        <w:t xml:space="preserve">Victorians </w:t>
      </w:r>
      <w:r>
        <w:rPr>
          <w:rFonts w:cs="Arial"/>
        </w:rPr>
        <w:t xml:space="preserve">is optimised </w:t>
      </w:r>
      <w:r w:rsidR="00F50923" w:rsidRPr="00466CEB">
        <w:rPr>
          <w:rFonts w:cs="Arial"/>
        </w:rPr>
        <w:t xml:space="preserve">through </w:t>
      </w:r>
      <w:r>
        <w:rPr>
          <w:rFonts w:cs="Arial"/>
        </w:rPr>
        <w:t xml:space="preserve">clinically </w:t>
      </w:r>
      <w:r w:rsidR="00845BAD" w:rsidRPr="00466CEB">
        <w:rPr>
          <w:rFonts w:cs="Arial"/>
        </w:rPr>
        <w:t xml:space="preserve">appropriate </w:t>
      </w:r>
      <w:r w:rsidR="00F50923" w:rsidRPr="00466CEB">
        <w:rPr>
          <w:rFonts w:cs="Arial"/>
        </w:rPr>
        <w:t>integration of genomics into health care</w:t>
      </w:r>
      <w:r w:rsidR="00845BAD" w:rsidRPr="00466CEB">
        <w:rPr>
          <w:rFonts w:cs="Arial"/>
        </w:rPr>
        <w:t>.</w:t>
      </w:r>
    </w:p>
    <w:p w:rsidR="008F4F64" w:rsidRDefault="00F50923" w:rsidP="00921338">
      <w:pPr>
        <w:pStyle w:val="Heading2"/>
      </w:pPr>
      <w:bookmarkStart w:id="19" w:name="_Toc458511941"/>
      <w:r>
        <w:t>Mission</w:t>
      </w:r>
      <w:bookmarkEnd w:id="19"/>
    </w:p>
    <w:p w:rsidR="00BD71F3" w:rsidRDefault="00BD71F3" w:rsidP="00BD71F3">
      <w:pPr>
        <w:rPr>
          <w:rFonts w:cs="Arial"/>
        </w:rPr>
      </w:pPr>
      <w:r>
        <w:rPr>
          <w:rFonts w:cs="Arial"/>
        </w:rPr>
        <w:t xml:space="preserve">To integrate genomics into </w:t>
      </w:r>
      <w:r w:rsidR="006B00C8">
        <w:rPr>
          <w:rFonts w:cs="Arial"/>
        </w:rPr>
        <w:t xml:space="preserve">Victorian </w:t>
      </w:r>
      <w:r>
        <w:rPr>
          <w:rFonts w:cs="Arial"/>
        </w:rPr>
        <w:t xml:space="preserve">health care to </w:t>
      </w:r>
      <w:r w:rsidR="006B00C8">
        <w:rPr>
          <w:rFonts w:cs="Arial"/>
        </w:rPr>
        <w:t xml:space="preserve">better prevent, detect and manage disease </w:t>
      </w:r>
      <w:r w:rsidR="00813DDC">
        <w:rPr>
          <w:rFonts w:cs="Arial"/>
        </w:rPr>
        <w:t xml:space="preserve">and disease risk </w:t>
      </w:r>
      <w:r w:rsidR="006B00C8">
        <w:rPr>
          <w:rFonts w:cs="Arial"/>
        </w:rPr>
        <w:t xml:space="preserve">and </w:t>
      </w:r>
      <w:r w:rsidR="006028D4">
        <w:rPr>
          <w:rFonts w:cs="Arial"/>
        </w:rPr>
        <w:t>predict and</w:t>
      </w:r>
      <w:r w:rsidR="008348CB">
        <w:rPr>
          <w:rFonts w:cs="Arial"/>
        </w:rPr>
        <w:t xml:space="preserve">/or prevent the </w:t>
      </w:r>
      <w:r w:rsidR="006B00C8">
        <w:rPr>
          <w:rFonts w:cs="Arial"/>
        </w:rPr>
        <w:t>complications of disease and treatment.</w:t>
      </w:r>
    </w:p>
    <w:p w:rsidR="008F4F64" w:rsidRDefault="00F50923" w:rsidP="00921338">
      <w:pPr>
        <w:pStyle w:val="Heading2"/>
      </w:pPr>
      <w:bookmarkStart w:id="20" w:name="_Toc458511942"/>
      <w:r>
        <w:t>Objectives</w:t>
      </w:r>
      <w:bookmarkEnd w:id="20"/>
    </w:p>
    <w:p w:rsidR="00F50923" w:rsidRPr="00315D84" w:rsidRDefault="00F50923" w:rsidP="00315D84">
      <w:pPr>
        <w:pStyle w:val="ListParagraph"/>
        <w:numPr>
          <w:ilvl w:val="0"/>
          <w:numId w:val="20"/>
        </w:numPr>
        <w:jc w:val="both"/>
        <w:rPr>
          <w:rFonts w:cs="Arial"/>
          <w:szCs w:val="24"/>
        </w:rPr>
      </w:pPr>
      <w:r w:rsidRPr="00466CEB">
        <w:rPr>
          <w:rFonts w:cs="Arial"/>
          <w:szCs w:val="24"/>
        </w:rPr>
        <w:t>To facilitate access for all Victorians to genomic knowledge to advance their health and wellbeing</w:t>
      </w:r>
      <w:r w:rsidR="00845BAD" w:rsidRPr="00466CEB">
        <w:rPr>
          <w:rFonts w:cs="Arial"/>
          <w:szCs w:val="24"/>
        </w:rPr>
        <w:t>.</w:t>
      </w:r>
    </w:p>
    <w:p w:rsidR="00F50923" w:rsidRPr="00315D84" w:rsidRDefault="00F50923" w:rsidP="00315D84">
      <w:pPr>
        <w:pStyle w:val="ListParagraph"/>
        <w:numPr>
          <w:ilvl w:val="0"/>
          <w:numId w:val="20"/>
        </w:numPr>
        <w:jc w:val="both"/>
        <w:rPr>
          <w:rFonts w:cs="Arial"/>
          <w:szCs w:val="24"/>
        </w:rPr>
      </w:pPr>
      <w:r w:rsidRPr="00466CEB">
        <w:rPr>
          <w:rFonts w:cs="Arial"/>
          <w:szCs w:val="24"/>
        </w:rPr>
        <w:t xml:space="preserve">To contribute to Victorian health system </w:t>
      </w:r>
      <w:r w:rsidR="00845BAD" w:rsidRPr="0056498E">
        <w:rPr>
          <w:rFonts w:cs="Arial"/>
          <w:szCs w:val="24"/>
        </w:rPr>
        <w:t xml:space="preserve">sustainability </w:t>
      </w:r>
      <w:r w:rsidRPr="00466CEB">
        <w:rPr>
          <w:rFonts w:cs="Arial"/>
          <w:szCs w:val="24"/>
        </w:rPr>
        <w:t>through judicious use of genomic knowledge</w:t>
      </w:r>
      <w:r w:rsidR="00845BAD" w:rsidRPr="00466CEB">
        <w:rPr>
          <w:rFonts w:cs="Arial"/>
          <w:szCs w:val="24"/>
        </w:rPr>
        <w:t>.</w:t>
      </w:r>
    </w:p>
    <w:p w:rsidR="00F50923" w:rsidRDefault="00F50923" w:rsidP="00315D84">
      <w:pPr>
        <w:pStyle w:val="ListParagraph"/>
        <w:numPr>
          <w:ilvl w:val="0"/>
          <w:numId w:val="20"/>
        </w:numPr>
        <w:jc w:val="both"/>
        <w:rPr>
          <w:rFonts w:cs="Arial"/>
          <w:szCs w:val="24"/>
        </w:rPr>
      </w:pPr>
      <w:r w:rsidRPr="00466CEB">
        <w:rPr>
          <w:rFonts w:cs="Arial"/>
          <w:szCs w:val="24"/>
        </w:rPr>
        <w:t xml:space="preserve">To </w:t>
      </w:r>
      <w:r w:rsidR="00722664">
        <w:rPr>
          <w:rFonts w:cs="Arial"/>
          <w:szCs w:val="24"/>
        </w:rPr>
        <w:t xml:space="preserve">better </w:t>
      </w:r>
      <w:r w:rsidRPr="00466CEB">
        <w:rPr>
          <w:rFonts w:cs="Arial"/>
          <w:szCs w:val="24"/>
        </w:rPr>
        <w:t xml:space="preserve">leverage </w:t>
      </w:r>
      <w:r w:rsidR="00845BAD">
        <w:rPr>
          <w:rFonts w:cs="Arial"/>
          <w:szCs w:val="24"/>
        </w:rPr>
        <w:t xml:space="preserve">existing </w:t>
      </w:r>
      <w:r w:rsidRPr="00466CEB">
        <w:rPr>
          <w:rFonts w:cs="Arial"/>
          <w:szCs w:val="24"/>
        </w:rPr>
        <w:t>research and development in Victor</w:t>
      </w:r>
      <w:r w:rsidR="00AE761E" w:rsidRPr="00466CEB">
        <w:rPr>
          <w:rFonts w:cs="Arial"/>
          <w:szCs w:val="24"/>
        </w:rPr>
        <w:t>ia</w:t>
      </w:r>
      <w:r w:rsidR="00845BAD" w:rsidRPr="00466CEB">
        <w:rPr>
          <w:rFonts w:cs="Arial"/>
          <w:szCs w:val="24"/>
        </w:rPr>
        <w:t>.</w:t>
      </w:r>
    </w:p>
    <w:p w:rsidR="008F4F64" w:rsidRDefault="00F50923" w:rsidP="00921338">
      <w:pPr>
        <w:pStyle w:val="Heading2"/>
      </w:pPr>
      <w:bookmarkStart w:id="21" w:name="_Toc458511943"/>
      <w:r w:rsidRPr="008C49B1">
        <w:t>Principles</w:t>
      </w:r>
      <w:bookmarkEnd w:id="21"/>
    </w:p>
    <w:p w:rsidR="00423502" w:rsidRDefault="00423502" w:rsidP="00423502">
      <w:pPr>
        <w:rPr>
          <w:rFonts w:cs="Arial"/>
        </w:rPr>
      </w:pPr>
      <w:r>
        <w:rPr>
          <w:rFonts w:cs="Arial"/>
        </w:rPr>
        <w:t xml:space="preserve">The </w:t>
      </w:r>
      <w:r w:rsidR="00410149">
        <w:rPr>
          <w:rFonts w:cs="Arial"/>
        </w:rPr>
        <w:t xml:space="preserve">September 2015 </w:t>
      </w:r>
      <w:r>
        <w:rPr>
          <w:rFonts w:cs="Arial"/>
        </w:rPr>
        <w:t xml:space="preserve">Victorian Health Reform Summit identified </w:t>
      </w:r>
      <w:r w:rsidR="00410149">
        <w:rPr>
          <w:rFonts w:cs="Arial"/>
        </w:rPr>
        <w:t>the following 10</w:t>
      </w:r>
      <w:r>
        <w:rPr>
          <w:rFonts w:cs="Arial"/>
        </w:rPr>
        <w:t xml:space="preserve"> key principles to guide future health reform:</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Person-centre</w:t>
      </w:r>
      <w:r w:rsidR="00B23941">
        <w:rPr>
          <w:rFonts w:eastAsia="Times" w:cs="Times New Roman"/>
          <w:lang w:val="en-AU"/>
        </w:rPr>
        <w:t>d</w:t>
      </w:r>
      <w:r w:rsidRPr="00423502">
        <w:rPr>
          <w:rFonts w:eastAsia="Times" w:cs="Times New Roman"/>
          <w:lang w:val="en-AU"/>
        </w:rPr>
        <w:t xml:space="preserve"> care with equitable access</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Integration</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Prevention and early intervention</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Technology and data</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Workforce</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Transparency and accountability</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Evidence-based care</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Sustainability</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Innovation</w:t>
      </w:r>
    </w:p>
    <w:p w:rsidR="00423502" w:rsidRPr="00423502" w:rsidRDefault="00423502" w:rsidP="00423502">
      <w:pPr>
        <w:pStyle w:val="ListParagraph"/>
        <w:numPr>
          <w:ilvl w:val="0"/>
          <w:numId w:val="2"/>
        </w:numPr>
        <w:jc w:val="both"/>
        <w:rPr>
          <w:rFonts w:eastAsia="Times" w:cs="Times New Roman"/>
          <w:lang w:val="en-AU"/>
        </w:rPr>
      </w:pPr>
      <w:r w:rsidRPr="00423502">
        <w:rPr>
          <w:rFonts w:eastAsia="Times" w:cs="Times New Roman"/>
          <w:lang w:val="en-AU"/>
        </w:rPr>
        <w:t>Medical research</w:t>
      </w:r>
      <w:r w:rsidR="00407DE2">
        <w:rPr>
          <w:rFonts w:eastAsia="Times" w:cs="Times New Roman"/>
          <w:lang w:val="en-AU"/>
        </w:rPr>
        <w:t>.</w:t>
      </w:r>
    </w:p>
    <w:p w:rsidR="00587721" w:rsidRDefault="00587721">
      <w:pPr>
        <w:rPr>
          <w:rFonts w:cs="Arial"/>
          <w:szCs w:val="24"/>
        </w:rPr>
      </w:pPr>
      <w:r>
        <w:rPr>
          <w:rFonts w:cs="Arial"/>
          <w:szCs w:val="24"/>
        </w:rPr>
        <w:br w:type="page"/>
      </w:r>
    </w:p>
    <w:p w:rsidR="00423502" w:rsidRPr="00423502" w:rsidRDefault="00423502" w:rsidP="00423502">
      <w:pPr>
        <w:jc w:val="both"/>
        <w:rPr>
          <w:rFonts w:cs="Arial"/>
          <w:szCs w:val="24"/>
        </w:rPr>
      </w:pPr>
      <w:r>
        <w:rPr>
          <w:rFonts w:cs="Arial"/>
          <w:szCs w:val="24"/>
        </w:rPr>
        <w:lastRenderedPageBreak/>
        <w:t>These</w:t>
      </w:r>
      <w:r w:rsidR="00587721" w:rsidRPr="00587721">
        <w:rPr>
          <w:rFonts w:cs="Arial"/>
        </w:rPr>
        <w:t xml:space="preserve"> </w:t>
      </w:r>
      <w:r w:rsidR="00587721">
        <w:rPr>
          <w:rFonts w:cs="Arial"/>
        </w:rPr>
        <w:t>key principles</w:t>
      </w:r>
      <w:r>
        <w:rPr>
          <w:rFonts w:cs="Arial"/>
          <w:szCs w:val="24"/>
        </w:rPr>
        <w:t xml:space="preserve"> </w:t>
      </w:r>
      <w:r w:rsidR="00410149">
        <w:rPr>
          <w:rFonts w:cs="Arial"/>
          <w:szCs w:val="24"/>
        </w:rPr>
        <w:t>are</w:t>
      </w:r>
      <w:r>
        <w:rPr>
          <w:rFonts w:cs="Arial"/>
          <w:szCs w:val="24"/>
        </w:rPr>
        <w:t xml:space="preserve"> encapsulated within the following proposed principles to guide genetic and genomic services</w:t>
      </w:r>
      <w:r w:rsidR="00527A50">
        <w:rPr>
          <w:rFonts w:cs="Arial"/>
          <w:szCs w:val="24"/>
        </w:rPr>
        <w:t>:</w:t>
      </w:r>
    </w:p>
    <w:p w:rsidR="00F50923" w:rsidRPr="008F0231" w:rsidRDefault="00F50923" w:rsidP="00315D84">
      <w:pPr>
        <w:pStyle w:val="ListParagraph"/>
        <w:numPr>
          <w:ilvl w:val="0"/>
          <w:numId w:val="21"/>
        </w:numPr>
        <w:jc w:val="both"/>
        <w:rPr>
          <w:rFonts w:cs="Arial"/>
          <w:szCs w:val="24"/>
        </w:rPr>
      </w:pPr>
      <w:r w:rsidRPr="008F0231">
        <w:rPr>
          <w:rFonts w:cs="Arial"/>
          <w:szCs w:val="24"/>
        </w:rPr>
        <w:t>Patients as partners</w:t>
      </w:r>
      <w:r w:rsidR="00C02426">
        <w:rPr>
          <w:rFonts w:cs="Arial"/>
          <w:szCs w:val="24"/>
        </w:rPr>
        <w:t>.</w:t>
      </w:r>
    </w:p>
    <w:p w:rsidR="00F50923" w:rsidRPr="008F0231" w:rsidRDefault="00F50923" w:rsidP="00315D84">
      <w:pPr>
        <w:pStyle w:val="ListParagraph"/>
        <w:numPr>
          <w:ilvl w:val="0"/>
          <w:numId w:val="21"/>
        </w:numPr>
        <w:jc w:val="both"/>
        <w:rPr>
          <w:rFonts w:cs="Arial"/>
          <w:szCs w:val="24"/>
        </w:rPr>
      </w:pPr>
      <w:r w:rsidRPr="008F0231">
        <w:rPr>
          <w:rFonts w:cs="Arial"/>
          <w:szCs w:val="24"/>
        </w:rPr>
        <w:t>Equity of access</w:t>
      </w:r>
      <w:r w:rsidR="00CE7403" w:rsidRPr="008F0231">
        <w:rPr>
          <w:rFonts w:cs="Arial"/>
          <w:szCs w:val="24"/>
        </w:rPr>
        <w:t xml:space="preserve"> </w:t>
      </w:r>
      <w:r w:rsidRPr="008F0231">
        <w:rPr>
          <w:rFonts w:cs="Arial"/>
          <w:szCs w:val="24"/>
        </w:rPr>
        <w:t>- equal response for equal need</w:t>
      </w:r>
      <w:r w:rsidR="00C02426">
        <w:rPr>
          <w:rFonts w:cs="Arial"/>
          <w:szCs w:val="24"/>
        </w:rPr>
        <w:t>.</w:t>
      </w:r>
    </w:p>
    <w:p w:rsidR="00F50923" w:rsidRPr="008F0231" w:rsidRDefault="00DC21F3" w:rsidP="00315D84">
      <w:pPr>
        <w:pStyle w:val="ListParagraph"/>
        <w:numPr>
          <w:ilvl w:val="0"/>
          <w:numId w:val="21"/>
        </w:numPr>
        <w:jc w:val="both"/>
        <w:rPr>
          <w:rFonts w:cs="Arial"/>
          <w:szCs w:val="24"/>
        </w:rPr>
      </w:pPr>
      <w:r>
        <w:rPr>
          <w:rFonts w:cs="Arial"/>
          <w:szCs w:val="24"/>
        </w:rPr>
        <w:t>T</w:t>
      </w:r>
      <w:r w:rsidR="00F50923" w:rsidRPr="008F0231">
        <w:rPr>
          <w:rFonts w:cs="Arial"/>
          <w:szCs w:val="24"/>
        </w:rPr>
        <w:t xml:space="preserve">he </w:t>
      </w:r>
      <w:r w:rsidR="003919DE" w:rsidRPr="008F0231">
        <w:rPr>
          <w:rFonts w:cs="Arial"/>
          <w:szCs w:val="24"/>
        </w:rPr>
        <w:t xml:space="preserve">health </w:t>
      </w:r>
      <w:r w:rsidR="00F50923" w:rsidRPr="008F0231">
        <w:rPr>
          <w:rFonts w:cs="Arial"/>
          <w:szCs w:val="24"/>
        </w:rPr>
        <w:t>system needs to promote responsiveness and sustainability</w:t>
      </w:r>
      <w:r w:rsidR="00C02426">
        <w:rPr>
          <w:rFonts w:cs="Arial"/>
          <w:szCs w:val="24"/>
        </w:rPr>
        <w:t>.</w:t>
      </w:r>
    </w:p>
    <w:p w:rsidR="00C84EFD" w:rsidRPr="00315D84" w:rsidRDefault="00F50923" w:rsidP="00315D84">
      <w:pPr>
        <w:pStyle w:val="ListParagraph"/>
        <w:numPr>
          <w:ilvl w:val="0"/>
          <w:numId w:val="21"/>
        </w:numPr>
        <w:jc w:val="both"/>
        <w:rPr>
          <w:rFonts w:cs="Arial"/>
          <w:szCs w:val="24"/>
        </w:rPr>
      </w:pPr>
      <w:r w:rsidRPr="008F0231">
        <w:rPr>
          <w:rFonts w:cs="Arial"/>
          <w:szCs w:val="24"/>
        </w:rPr>
        <w:t xml:space="preserve">All </w:t>
      </w:r>
      <w:r w:rsidR="007D6FFA">
        <w:rPr>
          <w:rFonts w:cs="Arial"/>
          <w:szCs w:val="24"/>
        </w:rPr>
        <w:t xml:space="preserve">decisions and </w:t>
      </w:r>
      <w:r w:rsidRPr="008F0231">
        <w:rPr>
          <w:rFonts w:cs="Arial"/>
          <w:szCs w:val="24"/>
        </w:rPr>
        <w:t>action</w:t>
      </w:r>
      <w:r w:rsidR="003919DE" w:rsidRPr="008F0231">
        <w:rPr>
          <w:rFonts w:cs="Arial"/>
          <w:szCs w:val="24"/>
        </w:rPr>
        <w:t>s</w:t>
      </w:r>
      <w:r w:rsidRPr="008F0231">
        <w:rPr>
          <w:rFonts w:cs="Arial"/>
          <w:szCs w:val="24"/>
        </w:rPr>
        <w:t xml:space="preserve"> need to be ethically defensible and acceptable to the community</w:t>
      </w:r>
      <w:r w:rsidR="00C02426">
        <w:rPr>
          <w:rFonts w:cs="Arial"/>
          <w:szCs w:val="24"/>
        </w:rPr>
        <w:t>.</w:t>
      </w:r>
    </w:p>
    <w:p w:rsidR="00C2449A" w:rsidRDefault="00C2449A" w:rsidP="00C84EFD">
      <w:pPr>
        <w:rPr>
          <w:rFonts w:cs="Arial"/>
        </w:rPr>
      </w:pPr>
    </w:p>
    <w:p w:rsidR="00C02426" w:rsidRDefault="00C84EFD" w:rsidP="00C84EFD">
      <w:pPr>
        <w:rPr>
          <w:rFonts w:cs="Arial"/>
        </w:rPr>
      </w:pPr>
      <w:r w:rsidRPr="008F0231">
        <w:rPr>
          <w:rFonts w:cs="Arial"/>
        </w:rPr>
        <w:t>The mission, vision and objectives are illustrated in the following diagram</w:t>
      </w:r>
      <w:r w:rsidR="00845BAD">
        <w:rPr>
          <w:rFonts w:cs="Arial"/>
        </w:rPr>
        <w:t>:</w:t>
      </w:r>
    </w:p>
    <w:p w:rsidR="00C84EFD" w:rsidRDefault="00363B7D" w:rsidP="00CC7DBD">
      <w:pPr>
        <w:jc w:val="center"/>
      </w:pPr>
      <w:r>
        <w:rPr>
          <w:noProof/>
          <w:lang w:eastAsia="en-AU"/>
        </w:rPr>
        <w:drawing>
          <wp:inline distT="0" distB="0" distL="0" distR="0" wp14:anchorId="63F17931" wp14:editId="41C347AF">
            <wp:extent cx="5609064" cy="3835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055" cy="3836447"/>
                    </a:xfrm>
                    <a:prstGeom prst="rect">
                      <a:avLst/>
                    </a:prstGeom>
                    <a:noFill/>
                  </pic:spPr>
                </pic:pic>
              </a:graphicData>
            </a:graphic>
          </wp:inline>
        </w:drawing>
      </w:r>
    </w:p>
    <w:p w:rsidR="00C2449A" w:rsidRDefault="00C2449A" w:rsidP="00CC7DBD">
      <w:pPr>
        <w:jc w:val="center"/>
      </w:pPr>
    </w:p>
    <w:tbl>
      <w:tblPr>
        <w:tblStyle w:val="TableGrid"/>
        <w:tblW w:w="0" w:type="auto"/>
        <w:tblLook w:val="04A0" w:firstRow="1" w:lastRow="0" w:firstColumn="1" w:lastColumn="0" w:noHBand="0" w:noVBand="1"/>
      </w:tblPr>
      <w:tblGrid>
        <w:gridCol w:w="9242"/>
      </w:tblGrid>
      <w:tr w:rsidR="004D28AD" w:rsidRPr="004A2D7F" w:rsidTr="004D28AD">
        <w:tc>
          <w:tcPr>
            <w:tcW w:w="9242" w:type="dxa"/>
          </w:tcPr>
          <w:p w:rsidR="004D28AD" w:rsidRPr="00921338" w:rsidRDefault="00592C77" w:rsidP="009376BD">
            <w:pPr>
              <w:spacing w:after="300" w:line="276" w:lineRule="auto"/>
              <w:contextualSpacing/>
              <w:jc w:val="center"/>
              <w:outlineLvl w:val="0"/>
              <w:rPr>
                <w:b/>
                <w:i/>
              </w:rPr>
            </w:pPr>
            <w:bookmarkStart w:id="22" w:name="_Toc458511944"/>
            <w:r>
              <w:rPr>
                <w:rFonts w:ascii="Arial" w:eastAsia="Times" w:hAnsi="Arial" w:cs="Times New Roman"/>
                <w:b/>
                <w:i/>
                <w:sz w:val="20"/>
                <w:szCs w:val="20"/>
              </w:rPr>
              <w:t xml:space="preserve">Q2. </w:t>
            </w:r>
            <w:r w:rsidR="008F4F64" w:rsidRPr="00921338">
              <w:rPr>
                <w:rFonts w:ascii="Arial" w:eastAsia="Times" w:hAnsi="Arial" w:cs="Times New Roman"/>
                <w:b/>
                <w:i/>
                <w:sz w:val="20"/>
                <w:szCs w:val="20"/>
              </w:rPr>
              <w:t xml:space="preserve"> </w:t>
            </w:r>
            <w:r w:rsidR="008F4F64" w:rsidRPr="00921338">
              <w:rPr>
                <w:rFonts w:cs="Arial"/>
                <w:b/>
                <w:i/>
                <w:szCs w:val="24"/>
              </w:rPr>
              <w:t>Are the proposed Vision, Mission, Objectives and Principles appropriate to guide genetic and genomic healthcare developments into the future?  If not, what should be changed?</w:t>
            </w:r>
            <w:bookmarkEnd w:id="22"/>
          </w:p>
        </w:tc>
      </w:tr>
    </w:tbl>
    <w:p w:rsidR="003D61E0" w:rsidRDefault="003D61E0">
      <w:pPr>
        <w:rPr>
          <w:rFonts w:ascii="Arial" w:eastAsia="Times" w:hAnsi="Arial" w:cs="Times New Roman"/>
          <w:sz w:val="20"/>
          <w:szCs w:val="20"/>
        </w:rPr>
      </w:pPr>
    </w:p>
    <w:p w:rsidR="00722278" w:rsidRDefault="00722278">
      <w:pPr>
        <w:rPr>
          <w:rFonts w:asciiTheme="majorHAnsi" w:eastAsiaTheme="majorEastAsia" w:hAnsiTheme="majorHAnsi" w:cstheme="majorBidi"/>
          <w:color w:val="17365D" w:themeColor="text2" w:themeShade="BF"/>
          <w:spacing w:val="5"/>
          <w:sz w:val="52"/>
          <w:szCs w:val="52"/>
          <w:lang w:val="en-US"/>
        </w:rPr>
      </w:pPr>
      <w:r>
        <w:br w:type="page"/>
      </w:r>
    </w:p>
    <w:p w:rsidR="003D61E0" w:rsidRDefault="003D61E0" w:rsidP="005074BE">
      <w:pPr>
        <w:pStyle w:val="Heading1"/>
        <w:spacing w:after="240"/>
      </w:pPr>
      <w:bookmarkStart w:id="23" w:name="_Toc458511945"/>
      <w:r>
        <w:lastRenderedPageBreak/>
        <w:t>Action areas</w:t>
      </w:r>
      <w:bookmarkEnd w:id="23"/>
    </w:p>
    <w:p w:rsidR="003D61E0" w:rsidRPr="005074BE" w:rsidRDefault="00341F3D" w:rsidP="008B4C22">
      <w:pPr>
        <w:rPr>
          <w:rFonts w:cs="Arial"/>
          <w:szCs w:val="24"/>
        </w:rPr>
      </w:pPr>
      <w:r>
        <w:rPr>
          <w:rFonts w:cs="Arial"/>
          <w:szCs w:val="24"/>
        </w:rPr>
        <w:t xml:space="preserve">The following </w:t>
      </w:r>
      <w:r w:rsidR="00FD1264" w:rsidRPr="005074BE">
        <w:rPr>
          <w:rFonts w:cs="Arial"/>
          <w:szCs w:val="24"/>
        </w:rPr>
        <w:t>factors</w:t>
      </w:r>
      <w:r w:rsidR="003D61E0" w:rsidRPr="005074BE">
        <w:rPr>
          <w:rFonts w:cs="Arial"/>
          <w:szCs w:val="24"/>
        </w:rPr>
        <w:t xml:space="preserve"> were identified earlier</w:t>
      </w:r>
      <w:r w:rsidR="004D28AD" w:rsidRPr="005074BE">
        <w:rPr>
          <w:rFonts w:cs="Arial"/>
          <w:szCs w:val="24"/>
        </w:rPr>
        <w:t xml:space="preserve"> </w:t>
      </w:r>
      <w:r w:rsidR="005A6A95">
        <w:rPr>
          <w:rFonts w:cs="Arial"/>
          <w:szCs w:val="24"/>
        </w:rPr>
        <w:t xml:space="preserve">in this discussion paper </w:t>
      </w:r>
      <w:r w:rsidR="00FD1264" w:rsidRPr="005074BE">
        <w:rPr>
          <w:rFonts w:cs="Arial"/>
          <w:szCs w:val="24"/>
        </w:rPr>
        <w:t>as likely impacting the future provision of genetic and genomic healthcare in Victoria</w:t>
      </w:r>
      <w:r w:rsidR="003D61E0" w:rsidRPr="005074BE">
        <w:rPr>
          <w:rFonts w:cs="Arial"/>
          <w:szCs w:val="24"/>
        </w:rPr>
        <w:t>:</w:t>
      </w:r>
    </w:p>
    <w:p w:rsidR="00DC21F3" w:rsidRDefault="00DC21F3" w:rsidP="008B4C22">
      <w:pPr>
        <w:pStyle w:val="ListParagraph"/>
        <w:numPr>
          <w:ilvl w:val="0"/>
          <w:numId w:val="2"/>
        </w:numPr>
        <w:jc w:val="both"/>
        <w:rPr>
          <w:rFonts w:eastAsia="Times" w:cs="Times New Roman"/>
          <w:szCs w:val="24"/>
          <w:lang w:val="en-AU"/>
        </w:rPr>
      </w:pPr>
      <w:r>
        <w:rPr>
          <w:rFonts w:eastAsia="Times" w:cs="Times New Roman"/>
          <w:szCs w:val="24"/>
          <w:lang w:val="en-AU"/>
        </w:rPr>
        <w:t>Models of care and service system capacity</w:t>
      </w:r>
    </w:p>
    <w:p w:rsidR="003D61E0" w:rsidRPr="005074BE" w:rsidRDefault="003D61E0" w:rsidP="008B4C22">
      <w:pPr>
        <w:pStyle w:val="ListParagraph"/>
        <w:numPr>
          <w:ilvl w:val="0"/>
          <w:numId w:val="2"/>
        </w:numPr>
        <w:jc w:val="both"/>
        <w:rPr>
          <w:rFonts w:eastAsia="Times" w:cs="Times New Roman"/>
          <w:szCs w:val="24"/>
          <w:lang w:val="en-AU"/>
        </w:rPr>
      </w:pPr>
      <w:r w:rsidRPr="005074BE">
        <w:rPr>
          <w:rFonts w:eastAsia="Times" w:cs="Times New Roman"/>
          <w:szCs w:val="24"/>
          <w:lang w:val="en-AU"/>
        </w:rPr>
        <w:t>Literacy</w:t>
      </w:r>
      <w:r w:rsidR="00341F3D">
        <w:rPr>
          <w:rFonts w:eastAsia="Times" w:cs="Times New Roman"/>
          <w:szCs w:val="24"/>
          <w:lang w:val="en-AU"/>
        </w:rPr>
        <w:t>;</w:t>
      </w:r>
    </w:p>
    <w:p w:rsidR="003D61E0" w:rsidRPr="005074BE" w:rsidRDefault="003D61E0" w:rsidP="008B4C22">
      <w:pPr>
        <w:pStyle w:val="ListParagraph"/>
        <w:numPr>
          <w:ilvl w:val="0"/>
          <w:numId w:val="2"/>
        </w:numPr>
        <w:jc w:val="both"/>
        <w:rPr>
          <w:rFonts w:eastAsia="Times" w:cs="Times New Roman"/>
          <w:szCs w:val="24"/>
          <w:lang w:val="en-AU"/>
        </w:rPr>
      </w:pPr>
      <w:r w:rsidRPr="005074BE">
        <w:rPr>
          <w:rFonts w:eastAsia="Times" w:cs="Times New Roman"/>
          <w:szCs w:val="24"/>
          <w:lang w:val="en-AU"/>
        </w:rPr>
        <w:t>Personalised medicine</w:t>
      </w:r>
      <w:r w:rsidR="00194715">
        <w:rPr>
          <w:rFonts w:eastAsia="Times" w:cs="Times New Roman"/>
          <w:szCs w:val="24"/>
          <w:lang w:val="en-AU"/>
        </w:rPr>
        <w:t xml:space="preserve"> including personalised prevention</w:t>
      </w:r>
      <w:r w:rsidR="00341F3D">
        <w:rPr>
          <w:rFonts w:eastAsia="Times" w:cs="Times New Roman"/>
          <w:szCs w:val="24"/>
          <w:lang w:val="en-AU"/>
        </w:rPr>
        <w:t>;</w:t>
      </w:r>
    </w:p>
    <w:p w:rsidR="003D61E0" w:rsidRPr="005074BE" w:rsidRDefault="003D61E0" w:rsidP="008B4C22">
      <w:pPr>
        <w:pStyle w:val="ListParagraph"/>
        <w:numPr>
          <w:ilvl w:val="0"/>
          <w:numId w:val="2"/>
        </w:numPr>
        <w:jc w:val="both"/>
        <w:rPr>
          <w:rFonts w:eastAsia="Times" w:cs="Times New Roman"/>
          <w:szCs w:val="24"/>
          <w:lang w:val="en-AU"/>
        </w:rPr>
      </w:pPr>
      <w:r w:rsidRPr="005074BE">
        <w:rPr>
          <w:rFonts w:eastAsia="Times" w:cs="Times New Roman"/>
          <w:szCs w:val="24"/>
          <w:lang w:val="en-AU"/>
        </w:rPr>
        <w:t>Co-productive healthcare</w:t>
      </w:r>
      <w:r w:rsidR="00341F3D">
        <w:rPr>
          <w:rFonts w:eastAsia="Times" w:cs="Times New Roman"/>
          <w:szCs w:val="24"/>
          <w:lang w:val="en-AU"/>
        </w:rPr>
        <w:t>;</w:t>
      </w:r>
    </w:p>
    <w:p w:rsidR="003D61E0" w:rsidRDefault="003D61E0" w:rsidP="008B4C22">
      <w:pPr>
        <w:pStyle w:val="ListParagraph"/>
        <w:numPr>
          <w:ilvl w:val="0"/>
          <w:numId w:val="2"/>
        </w:numPr>
        <w:jc w:val="both"/>
        <w:rPr>
          <w:rFonts w:eastAsia="Times" w:cs="Times New Roman"/>
          <w:szCs w:val="24"/>
          <w:lang w:val="en-AU"/>
        </w:rPr>
      </w:pPr>
      <w:r w:rsidRPr="005074BE">
        <w:rPr>
          <w:rFonts w:eastAsia="Times" w:cs="Times New Roman"/>
          <w:szCs w:val="24"/>
          <w:lang w:val="en-AU"/>
        </w:rPr>
        <w:t>Ethical, legal and social issues</w:t>
      </w:r>
      <w:r w:rsidR="00341F3D">
        <w:rPr>
          <w:rFonts w:eastAsia="Times" w:cs="Times New Roman"/>
          <w:szCs w:val="24"/>
          <w:lang w:val="en-AU"/>
        </w:rPr>
        <w:t>;</w:t>
      </w:r>
    </w:p>
    <w:p w:rsidR="008F4F64" w:rsidRPr="00921338" w:rsidRDefault="003D61E0" w:rsidP="00921338">
      <w:pPr>
        <w:pStyle w:val="ListParagraph"/>
        <w:numPr>
          <w:ilvl w:val="0"/>
          <w:numId w:val="2"/>
        </w:numPr>
        <w:jc w:val="both"/>
        <w:rPr>
          <w:sz w:val="18"/>
        </w:rPr>
      </w:pPr>
      <w:r w:rsidRPr="005074BE">
        <w:rPr>
          <w:rFonts w:eastAsia="Times" w:cs="Times New Roman"/>
          <w:szCs w:val="24"/>
          <w:lang w:val="en-AU"/>
        </w:rPr>
        <w:t>Value for money</w:t>
      </w:r>
      <w:r w:rsidR="00341F3D">
        <w:rPr>
          <w:rFonts w:eastAsia="Times" w:cs="Times New Roman"/>
          <w:szCs w:val="24"/>
          <w:lang w:val="en-AU"/>
        </w:rPr>
        <w:t>.</w:t>
      </w:r>
    </w:p>
    <w:p w:rsidR="003D61E0" w:rsidRPr="005074BE" w:rsidRDefault="004D28AD" w:rsidP="008B4C22">
      <w:pPr>
        <w:rPr>
          <w:rFonts w:cs="Arial"/>
          <w:szCs w:val="24"/>
        </w:rPr>
      </w:pPr>
      <w:r w:rsidRPr="005074BE">
        <w:rPr>
          <w:rFonts w:cs="Arial"/>
          <w:szCs w:val="24"/>
        </w:rPr>
        <w:t>The</w:t>
      </w:r>
      <w:r w:rsidR="00B841B7" w:rsidRPr="005074BE">
        <w:rPr>
          <w:rFonts w:cs="Arial"/>
          <w:szCs w:val="24"/>
        </w:rPr>
        <w:t xml:space="preserve"> proposed</w:t>
      </w:r>
      <w:r w:rsidRPr="005074BE">
        <w:rPr>
          <w:rFonts w:cs="Arial"/>
          <w:szCs w:val="24"/>
        </w:rPr>
        <w:t xml:space="preserve"> </w:t>
      </w:r>
      <w:r w:rsidR="00FD1264" w:rsidRPr="005074BE">
        <w:rPr>
          <w:rFonts w:cs="Arial"/>
          <w:szCs w:val="24"/>
        </w:rPr>
        <w:t>priority</w:t>
      </w:r>
      <w:r w:rsidRPr="005074BE">
        <w:rPr>
          <w:rFonts w:cs="Arial"/>
          <w:szCs w:val="24"/>
        </w:rPr>
        <w:t xml:space="preserve"> areas </w:t>
      </w:r>
      <w:r w:rsidR="00FD1264" w:rsidRPr="005074BE">
        <w:rPr>
          <w:rFonts w:cs="Arial"/>
          <w:szCs w:val="24"/>
        </w:rPr>
        <w:t xml:space="preserve">for </w:t>
      </w:r>
      <w:r w:rsidR="0088662E" w:rsidRPr="005074BE">
        <w:rPr>
          <w:rFonts w:cs="Arial"/>
          <w:szCs w:val="24"/>
        </w:rPr>
        <w:t xml:space="preserve">a </w:t>
      </w:r>
      <w:r w:rsidR="00FD1264" w:rsidRPr="005074BE">
        <w:rPr>
          <w:rFonts w:cs="Arial"/>
          <w:szCs w:val="24"/>
        </w:rPr>
        <w:t xml:space="preserve">genetic and genomic healthcare framework </w:t>
      </w:r>
      <w:r w:rsidRPr="005074BE">
        <w:rPr>
          <w:rFonts w:cs="Arial"/>
          <w:szCs w:val="24"/>
        </w:rPr>
        <w:t>are:</w:t>
      </w:r>
    </w:p>
    <w:p w:rsidR="004D28AD" w:rsidRPr="005074BE" w:rsidRDefault="004D28AD" w:rsidP="008B4C22">
      <w:pPr>
        <w:pStyle w:val="ListParagraph"/>
        <w:numPr>
          <w:ilvl w:val="0"/>
          <w:numId w:val="2"/>
        </w:numPr>
        <w:jc w:val="both"/>
        <w:rPr>
          <w:rFonts w:eastAsia="Times" w:cs="Times New Roman"/>
          <w:szCs w:val="24"/>
          <w:lang w:val="en-AU"/>
        </w:rPr>
      </w:pPr>
      <w:r w:rsidRPr="005074BE">
        <w:rPr>
          <w:rFonts w:eastAsia="Times" w:cs="Times New Roman"/>
          <w:szCs w:val="24"/>
          <w:lang w:val="en-AU"/>
        </w:rPr>
        <w:t xml:space="preserve">Engaging </w:t>
      </w:r>
      <w:r w:rsidR="0088662E" w:rsidRPr="005074BE">
        <w:rPr>
          <w:rFonts w:eastAsia="Times" w:cs="Times New Roman"/>
          <w:szCs w:val="24"/>
          <w:lang w:val="en-AU"/>
        </w:rPr>
        <w:t xml:space="preserve">all stakeholders </w:t>
      </w:r>
      <w:r w:rsidRPr="005074BE">
        <w:rPr>
          <w:rFonts w:eastAsia="Times" w:cs="Times New Roman"/>
          <w:szCs w:val="24"/>
          <w:lang w:val="en-AU"/>
        </w:rPr>
        <w:t>and building awareness</w:t>
      </w:r>
      <w:r w:rsidR="00341F3D">
        <w:rPr>
          <w:rFonts w:eastAsia="Times" w:cs="Times New Roman"/>
          <w:szCs w:val="24"/>
          <w:lang w:val="en-AU"/>
        </w:rPr>
        <w:t>;</w:t>
      </w:r>
    </w:p>
    <w:p w:rsidR="005D6C23" w:rsidRPr="005074BE" w:rsidRDefault="005D6C23" w:rsidP="005D6C23">
      <w:pPr>
        <w:pStyle w:val="ListParagraph"/>
        <w:numPr>
          <w:ilvl w:val="0"/>
          <w:numId w:val="2"/>
        </w:numPr>
        <w:jc w:val="both"/>
        <w:rPr>
          <w:rFonts w:eastAsia="Times" w:cs="Times New Roman"/>
          <w:szCs w:val="24"/>
          <w:lang w:val="en-AU"/>
        </w:rPr>
      </w:pPr>
      <w:r w:rsidRPr="005074BE">
        <w:rPr>
          <w:rFonts w:eastAsia="Times" w:cs="Times New Roman"/>
          <w:szCs w:val="24"/>
          <w:lang w:val="en-AU"/>
        </w:rPr>
        <w:t>Clarifying the ethical and legal framework</w:t>
      </w:r>
      <w:r>
        <w:rPr>
          <w:rFonts w:eastAsia="Times" w:cs="Times New Roman"/>
          <w:szCs w:val="24"/>
          <w:lang w:val="en-AU"/>
        </w:rPr>
        <w:t>;</w:t>
      </w:r>
    </w:p>
    <w:p w:rsidR="004D28AD" w:rsidRPr="005074BE" w:rsidRDefault="007D5053" w:rsidP="008B4C22">
      <w:pPr>
        <w:pStyle w:val="ListParagraph"/>
        <w:numPr>
          <w:ilvl w:val="0"/>
          <w:numId w:val="2"/>
        </w:numPr>
        <w:jc w:val="both"/>
        <w:rPr>
          <w:rFonts w:eastAsia="Times" w:cs="Times New Roman"/>
          <w:szCs w:val="24"/>
          <w:lang w:val="en-AU"/>
        </w:rPr>
      </w:pPr>
      <w:r>
        <w:rPr>
          <w:rFonts w:eastAsia="Times" w:cs="Times New Roman"/>
          <w:szCs w:val="24"/>
          <w:lang w:val="en-AU"/>
        </w:rPr>
        <w:t>Adopting</w:t>
      </w:r>
      <w:r w:rsidRPr="005074BE">
        <w:rPr>
          <w:rFonts w:eastAsia="Times" w:cs="Times New Roman"/>
          <w:szCs w:val="24"/>
          <w:lang w:val="en-AU"/>
        </w:rPr>
        <w:t xml:space="preserve"> </w:t>
      </w:r>
      <w:r w:rsidR="004D28AD" w:rsidRPr="005074BE">
        <w:rPr>
          <w:rFonts w:eastAsia="Times" w:cs="Times New Roman"/>
          <w:szCs w:val="24"/>
          <w:lang w:val="en-AU"/>
        </w:rPr>
        <w:t>the evidence</w:t>
      </w:r>
      <w:r w:rsidR="00341F3D">
        <w:rPr>
          <w:rFonts w:eastAsia="Times" w:cs="Times New Roman"/>
          <w:szCs w:val="24"/>
          <w:lang w:val="en-AU"/>
        </w:rPr>
        <w:t>;</w:t>
      </w:r>
    </w:p>
    <w:p w:rsidR="00156654" w:rsidRPr="00C2449A" w:rsidRDefault="00DC21F3" w:rsidP="00156654">
      <w:pPr>
        <w:pStyle w:val="ListParagraph"/>
        <w:numPr>
          <w:ilvl w:val="0"/>
          <w:numId w:val="2"/>
        </w:numPr>
        <w:jc w:val="both"/>
        <w:rPr>
          <w:rFonts w:eastAsia="Times" w:cs="Times New Roman"/>
          <w:szCs w:val="24"/>
          <w:lang w:val="en-AU"/>
        </w:rPr>
      </w:pPr>
      <w:r w:rsidRPr="00C2449A">
        <w:rPr>
          <w:rFonts w:eastAsia="Times" w:cs="Times New Roman"/>
          <w:szCs w:val="24"/>
          <w:lang w:val="en-AU"/>
        </w:rPr>
        <w:t>Building</w:t>
      </w:r>
      <w:r w:rsidR="00156654" w:rsidRPr="00C2449A">
        <w:rPr>
          <w:rFonts w:eastAsia="Times" w:cs="Times New Roman"/>
          <w:szCs w:val="24"/>
          <w:lang w:val="en-AU"/>
        </w:rPr>
        <w:t xml:space="preserve"> service system</w:t>
      </w:r>
      <w:r w:rsidRPr="00C2449A">
        <w:rPr>
          <w:rFonts w:eastAsia="Times" w:cs="Times New Roman"/>
          <w:szCs w:val="24"/>
          <w:lang w:val="en-AU"/>
        </w:rPr>
        <w:t xml:space="preserve"> capacity</w:t>
      </w:r>
      <w:r w:rsidR="00341F3D" w:rsidRPr="00C2449A">
        <w:rPr>
          <w:rFonts w:eastAsia="Times" w:cs="Times New Roman"/>
          <w:szCs w:val="24"/>
          <w:lang w:val="en-AU"/>
        </w:rPr>
        <w:t>; and</w:t>
      </w:r>
    </w:p>
    <w:p w:rsidR="008F4F64" w:rsidRPr="008F4F64" w:rsidRDefault="008F4F64" w:rsidP="00921338">
      <w:pPr>
        <w:pStyle w:val="ListParagraph"/>
        <w:numPr>
          <w:ilvl w:val="0"/>
          <w:numId w:val="2"/>
        </w:numPr>
        <w:jc w:val="both"/>
        <w:rPr>
          <w:szCs w:val="24"/>
        </w:rPr>
      </w:pPr>
      <w:r w:rsidRPr="00921338">
        <w:rPr>
          <w:rFonts w:eastAsia="Times" w:cs="Times New Roman"/>
          <w:szCs w:val="24"/>
        </w:rPr>
        <w:t>Driving innovation.</w:t>
      </w:r>
    </w:p>
    <w:p w:rsidR="003D61E0" w:rsidRPr="005074BE" w:rsidRDefault="008F4F64" w:rsidP="003B4233">
      <w:pPr>
        <w:rPr>
          <w:rFonts w:cs="Arial"/>
          <w:szCs w:val="24"/>
        </w:rPr>
      </w:pPr>
      <w:r w:rsidRPr="00921338">
        <w:rPr>
          <w:rFonts w:eastAsia="Times" w:cs="Times New Roman"/>
          <w:szCs w:val="24"/>
        </w:rPr>
        <w:t>For each of the priori</w:t>
      </w:r>
      <w:r w:rsidR="003B4233" w:rsidRPr="005074BE">
        <w:rPr>
          <w:rFonts w:cs="Arial"/>
          <w:szCs w:val="24"/>
        </w:rPr>
        <w:t>ty areas, the following are outlined:</w:t>
      </w:r>
    </w:p>
    <w:p w:rsidR="003B4233" w:rsidRPr="005074BE" w:rsidRDefault="003B4233" w:rsidP="003B4233">
      <w:pPr>
        <w:pStyle w:val="ListParagraph"/>
        <w:numPr>
          <w:ilvl w:val="0"/>
          <w:numId w:val="2"/>
        </w:numPr>
        <w:jc w:val="both"/>
        <w:rPr>
          <w:rFonts w:eastAsia="Times" w:cs="Times New Roman"/>
          <w:szCs w:val="24"/>
          <w:lang w:val="en-AU"/>
        </w:rPr>
      </w:pPr>
      <w:r w:rsidRPr="005074BE">
        <w:rPr>
          <w:rFonts w:eastAsia="Times" w:cs="Times New Roman"/>
          <w:szCs w:val="24"/>
          <w:lang w:val="en-AU"/>
        </w:rPr>
        <w:t>Key issues</w:t>
      </w:r>
      <w:r w:rsidR="00341F3D">
        <w:rPr>
          <w:rFonts w:eastAsia="Times" w:cs="Times New Roman"/>
          <w:szCs w:val="24"/>
          <w:lang w:val="en-AU"/>
        </w:rPr>
        <w:t>;</w:t>
      </w:r>
    </w:p>
    <w:p w:rsidR="003B4233" w:rsidRPr="005074BE" w:rsidRDefault="003B4233" w:rsidP="003B4233">
      <w:pPr>
        <w:pStyle w:val="ListParagraph"/>
        <w:numPr>
          <w:ilvl w:val="0"/>
          <w:numId w:val="2"/>
        </w:numPr>
        <w:jc w:val="both"/>
        <w:rPr>
          <w:rFonts w:eastAsia="Times" w:cs="Times New Roman"/>
          <w:szCs w:val="24"/>
          <w:lang w:val="en-AU"/>
        </w:rPr>
      </w:pPr>
      <w:r w:rsidRPr="005074BE">
        <w:rPr>
          <w:rFonts w:eastAsia="Times" w:cs="Times New Roman"/>
          <w:szCs w:val="24"/>
          <w:lang w:val="en-AU"/>
        </w:rPr>
        <w:t>Steps already taken</w:t>
      </w:r>
      <w:r w:rsidR="00341F3D">
        <w:rPr>
          <w:rFonts w:eastAsia="Times" w:cs="Times New Roman"/>
          <w:szCs w:val="24"/>
          <w:lang w:val="en-AU"/>
        </w:rPr>
        <w:t>;</w:t>
      </w:r>
    </w:p>
    <w:p w:rsidR="003B4233" w:rsidRPr="005074BE" w:rsidRDefault="003B4233" w:rsidP="003B4233">
      <w:pPr>
        <w:pStyle w:val="ListParagraph"/>
        <w:numPr>
          <w:ilvl w:val="0"/>
          <w:numId w:val="2"/>
        </w:numPr>
        <w:jc w:val="both"/>
        <w:rPr>
          <w:rFonts w:eastAsia="Times" w:cs="Times New Roman"/>
          <w:szCs w:val="24"/>
          <w:lang w:val="en-AU"/>
        </w:rPr>
      </w:pPr>
      <w:r w:rsidRPr="005074BE">
        <w:rPr>
          <w:rFonts w:eastAsia="Times" w:cs="Times New Roman"/>
          <w:szCs w:val="24"/>
          <w:lang w:val="en-AU"/>
        </w:rPr>
        <w:t>Proposed actions over the next two years</w:t>
      </w:r>
      <w:r w:rsidR="00341F3D">
        <w:rPr>
          <w:rFonts w:eastAsia="Times" w:cs="Times New Roman"/>
          <w:szCs w:val="24"/>
          <w:lang w:val="en-AU"/>
        </w:rPr>
        <w:t>; and</w:t>
      </w:r>
    </w:p>
    <w:p w:rsidR="003B4233" w:rsidRPr="005074BE" w:rsidRDefault="003B4233" w:rsidP="003B4233">
      <w:pPr>
        <w:pStyle w:val="ListParagraph"/>
        <w:numPr>
          <w:ilvl w:val="0"/>
          <w:numId w:val="2"/>
        </w:numPr>
        <w:jc w:val="both"/>
        <w:rPr>
          <w:rFonts w:eastAsia="Times" w:cs="Times New Roman"/>
          <w:szCs w:val="24"/>
          <w:lang w:val="en-AU"/>
        </w:rPr>
      </w:pPr>
      <w:r w:rsidRPr="005074BE">
        <w:rPr>
          <w:rFonts w:eastAsia="Times" w:cs="Times New Roman"/>
          <w:szCs w:val="24"/>
          <w:lang w:val="en-AU"/>
        </w:rPr>
        <w:t xml:space="preserve">Issues </w:t>
      </w:r>
      <w:r w:rsidR="00693A30">
        <w:rPr>
          <w:rFonts w:eastAsia="Times" w:cs="Times New Roman"/>
          <w:szCs w:val="24"/>
          <w:lang w:val="en-AU"/>
        </w:rPr>
        <w:t>for</w:t>
      </w:r>
      <w:r w:rsidRPr="005074BE">
        <w:rPr>
          <w:rFonts w:eastAsia="Times" w:cs="Times New Roman"/>
          <w:szCs w:val="24"/>
          <w:lang w:val="en-AU"/>
        </w:rPr>
        <w:t xml:space="preserve"> the longer term</w:t>
      </w:r>
      <w:r w:rsidR="00341F3D">
        <w:rPr>
          <w:rFonts w:eastAsia="Times" w:cs="Times New Roman"/>
          <w:szCs w:val="24"/>
          <w:lang w:val="en-AU"/>
        </w:rPr>
        <w:t>.</w:t>
      </w:r>
    </w:p>
    <w:p w:rsidR="00FB47D1" w:rsidRPr="005074BE" w:rsidRDefault="00FB47D1" w:rsidP="00FB47D1">
      <w:pPr>
        <w:rPr>
          <w:sz w:val="20"/>
        </w:rPr>
      </w:pPr>
    </w:p>
    <w:p w:rsidR="00FB47D1" w:rsidRPr="00921338" w:rsidRDefault="00592C77" w:rsidP="00CC7DBD">
      <w:pPr>
        <w:pBdr>
          <w:top w:val="single" w:sz="4" w:space="1" w:color="auto"/>
          <w:left w:val="single" w:sz="4" w:space="4" w:color="auto"/>
          <w:bottom w:val="single" w:sz="4" w:space="1" w:color="auto"/>
          <w:right w:val="single" w:sz="4" w:space="4" w:color="auto"/>
        </w:pBdr>
        <w:jc w:val="center"/>
        <w:rPr>
          <w:b/>
          <w:i/>
          <w:color w:val="000000" w:themeColor="text1"/>
        </w:rPr>
      </w:pPr>
      <w:r>
        <w:rPr>
          <w:b/>
          <w:i/>
          <w:color w:val="000000" w:themeColor="text1"/>
        </w:rPr>
        <w:t xml:space="preserve">Q3. </w:t>
      </w:r>
      <w:r w:rsidR="008F4F64" w:rsidRPr="00921338">
        <w:rPr>
          <w:b/>
          <w:i/>
          <w:color w:val="000000" w:themeColor="text1"/>
        </w:rPr>
        <w:t>Are the proposed priority areas the right ones to achieve the vision or are there other areas of higher priority that should be considered?</w:t>
      </w:r>
    </w:p>
    <w:p w:rsidR="003B4233" w:rsidRDefault="003B4233" w:rsidP="003B4233"/>
    <w:p w:rsidR="00151D4D" w:rsidRDefault="00151D4D">
      <w:r>
        <w:br w:type="page"/>
      </w:r>
    </w:p>
    <w:p w:rsidR="00151D4D" w:rsidRDefault="00151D4D" w:rsidP="005B3C98">
      <w:pPr>
        <w:pStyle w:val="Heading1"/>
        <w:spacing w:after="240"/>
      </w:pPr>
      <w:bookmarkStart w:id="24" w:name="_Toc458511946"/>
      <w:r>
        <w:lastRenderedPageBreak/>
        <w:t>Engaging and building awareness</w:t>
      </w:r>
      <w:bookmarkEnd w:id="24"/>
    </w:p>
    <w:p w:rsidR="00151D4D" w:rsidRPr="00141D45" w:rsidRDefault="00151D4D" w:rsidP="003B4233">
      <w:pPr>
        <w:rPr>
          <w:rFonts w:ascii="Arial" w:eastAsiaTheme="minorEastAsia" w:hAnsi="Arial"/>
          <w:b/>
          <w:color w:val="365F91" w:themeColor="accent1" w:themeShade="BF"/>
          <w:sz w:val="24"/>
          <w:lang w:val="en-US"/>
        </w:rPr>
      </w:pPr>
      <w:r w:rsidRPr="00141D45">
        <w:rPr>
          <w:rFonts w:ascii="Arial" w:eastAsiaTheme="minorEastAsia" w:hAnsi="Arial"/>
          <w:b/>
          <w:color w:val="365F91" w:themeColor="accent1" w:themeShade="BF"/>
          <w:sz w:val="24"/>
          <w:lang w:val="en-US"/>
        </w:rPr>
        <w:t>Key issues</w:t>
      </w:r>
    </w:p>
    <w:p w:rsidR="0075572B" w:rsidRPr="00E9676C" w:rsidRDefault="0075572B" w:rsidP="00E9676C">
      <w:pPr>
        <w:pStyle w:val="ListParagraph"/>
        <w:numPr>
          <w:ilvl w:val="0"/>
          <w:numId w:val="2"/>
        </w:numPr>
        <w:jc w:val="both"/>
        <w:rPr>
          <w:rFonts w:eastAsia="Times" w:cs="Times New Roman"/>
          <w:szCs w:val="24"/>
          <w:lang w:val="en-AU"/>
        </w:rPr>
      </w:pPr>
      <w:r w:rsidRPr="00E9676C">
        <w:rPr>
          <w:rFonts w:eastAsia="Times" w:cs="Times New Roman"/>
          <w:szCs w:val="24"/>
          <w:lang w:val="en-AU"/>
        </w:rPr>
        <w:t xml:space="preserve">Good communication is central to both engaging stakeholders and building awareness of genetic and genomic health care. </w:t>
      </w:r>
    </w:p>
    <w:p w:rsidR="002E7231" w:rsidRPr="00E9676C" w:rsidRDefault="00B239F8" w:rsidP="00E9676C">
      <w:pPr>
        <w:pStyle w:val="ListParagraph"/>
        <w:numPr>
          <w:ilvl w:val="0"/>
          <w:numId w:val="2"/>
        </w:numPr>
        <w:jc w:val="both"/>
        <w:rPr>
          <w:rFonts w:eastAsia="Times" w:cs="Times New Roman"/>
          <w:szCs w:val="24"/>
          <w:lang w:val="en-AU"/>
        </w:rPr>
      </w:pPr>
      <w:r w:rsidRPr="00E9676C">
        <w:rPr>
          <w:rFonts w:eastAsia="Times" w:cs="Times New Roman"/>
          <w:szCs w:val="24"/>
          <w:lang w:val="en-AU"/>
        </w:rPr>
        <w:t>Genomic</w:t>
      </w:r>
      <w:r w:rsidR="006D5BB0" w:rsidRPr="00E9676C">
        <w:rPr>
          <w:rFonts w:eastAsia="Times" w:cs="Times New Roman"/>
          <w:szCs w:val="24"/>
          <w:lang w:val="en-AU"/>
        </w:rPr>
        <w:t xml:space="preserve"> testing is being marketed directly to consumers and health professionals</w:t>
      </w:r>
      <w:r w:rsidR="00AA2B04" w:rsidRPr="00E9676C">
        <w:rPr>
          <w:rFonts w:eastAsia="Times" w:cs="Times New Roman"/>
          <w:szCs w:val="24"/>
          <w:lang w:val="en-AU"/>
        </w:rPr>
        <w:t>.</w:t>
      </w:r>
    </w:p>
    <w:p w:rsidR="002E7231" w:rsidRPr="00E9676C" w:rsidRDefault="002E7231" w:rsidP="00E9676C">
      <w:pPr>
        <w:spacing w:line="240" w:lineRule="auto"/>
        <w:rPr>
          <w:rFonts w:ascii="Arial" w:hAnsi="Arial"/>
          <w:b/>
          <w:color w:val="365F91" w:themeColor="accent1" w:themeShade="BF"/>
          <w:sz w:val="24"/>
        </w:rPr>
      </w:pPr>
      <w:r w:rsidRPr="00141D45">
        <w:rPr>
          <w:rFonts w:ascii="Arial" w:hAnsi="Arial"/>
          <w:b/>
          <w:color w:val="365F91" w:themeColor="accent1" w:themeShade="BF"/>
          <w:sz w:val="24"/>
        </w:rPr>
        <w:t xml:space="preserve">Steps already taken </w:t>
      </w:r>
    </w:p>
    <w:p w:rsidR="002E7231" w:rsidRPr="00E9676C" w:rsidRDefault="002E7231" w:rsidP="00E9676C">
      <w:pPr>
        <w:spacing w:after="240" w:line="240" w:lineRule="auto"/>
        <w:jc w:val="both"/>
        <w:rPr>
          <w:rFonts w:cs="Arial"/>
          <w:szCs w:val="24"/>
        </w:rPr>
      </w:pPr>
      <w:r w:rsidRPr="005B3C98">
        <w:rPr>
          <w:rFonts w:cs="Arial"/>
          <w:szCs w:val="24"/>
        </w:rPr>
        <w:t xml:space="preserve">The </w:t>
      </w:r>
      <w:r w:rsidR="00CA36EB" w:rsidRPr="005B3C98">
        <w:rPr>
          <w:rFonts w:cs="Arial"/>
          <w:szCs w:val="24"/>
        </w:rPr>
        <w:t xml:space="preserve">department’s </w:t>
      </w:r>
      <w:r w:rsidR="0075572B">
        <w:rPr>
          <w:rFonts w:cs="Arial"/>
          <w:szCs w:val="24"/>
        </w:rPr>
        <w:t xml:space="preserve">internet </w:t>
      </w:r>
      <w:r w:rsidRPr="005B3C98">
        <w:rPr>
          <w:rFonts w:cs="Arial"/>
          <w:szCs w:val="24"/>
        </w:rPr>
        <w:t>site</w:t>
      </w:r>
      <w:r w:rsidR="0075572B">
        <w:rPr>
          <w:rFonts w:cs="Arial"/>
          <w:szCs w:val="24"/>
        </w:rPr>
        <w:t xml:space="preserve"> and the Better Health Channel have been</w:t>
      </w:r>
      <w:r w:rsidRPr="005B3C98">
        <w:rPr>
          <w:rFonts w:cs="Arial"/>
          <w:szCs w:val="24"/>
        </w:rPr>
        <w:t xml:space="preserve"> updated to reflect current </w:t>
      </w:r>
      <w:r w:rsidR="001276B8">
        <w:rPr>
          <w:rFonts w:cs="Arial"/>
          <w:szCs w:val="24"/>
        </w:rPr>
        <w:t xml:space="preserve">Government </w:t>
      </w:r>
      <w:r w:rsidRPr="005B3C98">
        <w:rPr>
          <w:rFonts w:cs="Arial"/>
          <w:szCs w:val="24"/>
        </w:rPr>
        <w:t>commitments and validated public information.</w:t>
      </w:r>
    </w:p>
    <w:tbl>
      <w:tblPr>
        <w:tblStyle w:val="TableGrid"/>
        <w:tblW w:w="0" w:type="auto"/>
        <w:tblLook w:val="04A0" w:firstRow="1" w:lastRow="0" w:firstColumn="1" w:lastColumn="0" w:noHBand="0" w:noVBand="1"/>
      </w:tblPr>
      <w:tblGrid>
        <w:gridCol w:w="6204"/>
        <w:gridCol w:w="3650"/>
      </w:tblGrid>
      <w:tr w:rsidR="001276B8" w:rsidTr="00921338">
        <w:tc>
          <w:tcPr>
            <w:tcW w:w="6204" w:type="dxa"/>
          </w:tcPr>
          <w:p w:rsidR="001276B8" w:rsidRDefault="001276B8" w:rsidP="002E7231">
            <w:r w:rsidRPr="00141D45">
              <w:rPr>
                <w:rFonts w:ascii="Arial" w:hAnsi="Arial"/>
                <w:b/>
                <w:color w:val="365F91" w:themeColor="accent1" w:themeShade="BF"/>
                <w:sz w:val="24"/>
              </w:rPr>
              <w:t>Proposed actions</w:t>
            </w:r>
          </w:p>
        </w:tc>
        <w:tc>
          <w:tcPr>
            <w:tcW w:w="3650" w:type="dxa"/>
          </w:tcPr>
          <w:p w:rsidR="001276B8" w:rsidRDefault="008F4F64" w:rsidP="002E7231">
            <w:r w:rsidRPr="00921338">
              <w:rPr>
                <w:rFonts w:ascii="Arial" w:hAnsi="Arial"/>
                <w:b/>
                <w:color w:val="365F91" w:themeColor="accent1" w:themeShade="BF"/>
                <w:sz w:val="24"/>
              </w:rPr>
              <w:t>Expected outcomes</w:t>
            </w:r>
          </w:p>
        </w:tc>
      </w:tr>
      <w:tr w:rsidR="001276B8" w:rsidTr="00921338">
        <w:tc>
          <w:tcPr>
            <w:tcW w:w="6204" w:type="dxa"/>
          </w:tcPr>
          <w:p w:rsidR="008F4F64" w:rsidRDefault="001276B8" w:rsidP="00E9676C">
            <w:pPr>
              <w:pStyle w:val="ListParagraph"/>
              <w:numPr>
                <w:ilvl w:val="0"/>
                <w:numId w:val="23"/>
              </w:numPr>
              <w:jc w:val="both"/>
            </w:pPr>
            <w:r w:rsidRPr="005B3C98">
              <w:rPr>
                <w:color w:val="000000" w:themeColor="text1"/>
              </w:rPr>
              <w:t xml:space="preserve">Work with consumer advocacy groups and other </w:t>
            </w:r>
            <w:r>
              <w:rPr>
                <w:color w:val="000000" w:themeColor="text1"/>
              </w:rPr>
              <w:t>stakeholders</w:t>
            </w:r>
            <w:r w:rsidRPr="005B3C98">
              <w:rPr>
                <w:color w:val="000000" w:themeColor="text1"/>
              </w:rPr>
              <w:t xml:space="preserve"> to develop a robust communications and engagement strategy to raise public awareness of genomic health care and implement a genomics literacy program for the Victorian community.</w:t>
            </w:r>
          </w:p>
        </w:tc>
        <w:tc>
          <w:tcPr>
            <w:tcW w:w="3650" w:type="dxa"/>
          </w:tcPr>
          <w:p w:rsidR="001276B8" w:rsidRDefault="00C841B1" w:rsidP="00E9676C">
            <w:pPr>
              <w:jc w:val="both"/>
            </w:pPr>
            <w:r>
              <w:rPr>
                <w:color w:val="000000" w:themeColor="text1"/>
              </w:rPr>
              <w:t xml:space="preserve">A </w:t>
            </w:r>
            <w:r w:rsidRPr="005B3C98">
              <w:rPr>
                <w:color w:val="000000" w:themeColor="text1"/>
              </w:rPr>
              <w:t>genomics literacy program for the Victorian community</w:t>
            </w:r>
            <w:r>
              <w:t xml:space="preserve"> that is better </w:t>
            </w:r>
            <w:r w:rsidR="00F81401">
              <w:t>inform</w:t>
            </w:r>
            <w:r>
              <w:t>ed</w:t>
            </w:r>
            <w:r w:rsidR="00F81401">
              <w:t xml:space="preserve"> and engage</w:t>
            </w:r>
            <w:r>
              <w:t>d</w:t>
            </w:r>
            <w:r w:rsidR="00F81401">
              <w:t xml:space="preserve"> to participate in genomic discussions</w:t>
            </w:r>
            <w:r w:rsidR="00D55507">
              <w:t>.</w:t>
            </w:r>
          </w:p>
        </w:tc>
      </w:tr>
      <w:tr w:rsidR="001276B8" w:rsidTr="00921338">
        <w:tc>
          <w:tcPr>
            <w:tcW w:w="6204" w:type="dxa"/>
          </w:tcPr>
          <w:p w:rsidR="008F4F64" w:rsidRDefault="00EF7279" w:rsidP="00E9676C">
            <w:pPr>
              <w:pStyle w:val="ListParagraph"/>
              <w:numPr>
                <w:ilvl w:val="0"/>
                <w:numId w:val="23"/>
              </w:numPr>
              <w:jc w:val="both"/>
            </w:pPr>
            <w:r>
              <w:rPr>
                <w:color w:val="000000" w:themeColor="text1"/>
              </w:rPr>
              <w:t>Scope</w:t>
            </w:r>
            <w:r w:rsidR="001276B8" w:rsidRPr="005B3C98">
              <w:rPr>
                <w:color w:val="000000" w:themeColor="text1"/>
              </w:rPr>
              <w:t xml:space="preserve"> </w:t>
            </w:r>
            <w:r w:rsidR="001276B8">
              <w:rPr>
                <w:color w:val="000000" w:themeColor="text1"/>
              </w:rPr>
              <w:t>a</w:t>
            </w:r>
            <w:r w:rsidR="001276B8" w:rsidRPr="005B3C98">
              <w:rPr>
                <w:color w:val="000000" w:themeColor="text1"/>
              </w:rPr>
              <w:t xml:space="preserve"> ‘Family History’ project to </w:t>
            </w:r>
            <w:r w:rsidR="001276B8">
              <w:rPr>
                <w:color w:val="000000" w:themeColor="text1"/>
              </w:rPr>
              <w:t xml:space="preserve">raise </w:t>
            </w:r>
            <w:r w:rsidR="001276B8" w:rsidRPr="005B3C98">
              <w:rPr>
                <w:color w:val="000000" w:themeColor="text1"/>
              </w:rPr>
              <w:t>awareness of the genetic basis of disease</w:t>
            </w:r>
            <w:r w:rsidR="00627B28">
              <w:rPr>
                <w:color w:val="000000" w:themeColor="text1"/>
              </w:rPr>
              <w:t xml:space="preserve"> and </w:t>
            </w:r>
            <w:r w:rsidR="006D34F5">
              <w:rPr>
                <w:color w:val="000000" w:themeColor="text1"/>
              </w:rPr>
              <w:t xml:space="preserve">assist in </w:t>
            </w:r>
            <w:r w:rsidR="00627B28">
              <w:rPr>
                <w:color w:val="000000" w:themeColor="text1"/>
              </w:rPr>
              <w:t>develop</w:t>
            </w:r>
            <w:r w:rsidR="006D34F5">
              <w:rPr>
                <w:color w:val="000000" w:themeColor="text1"/>
              </w:rPr>
              <w:t>ing</w:t>
            </w:r>
            <w:r w:rsidR="00627B28">
              <w:rPr>
                <w:color w:val="000000" w:themeColor="text1"/>
              </w:rPr>
              <w:t xml:space="preserve"> personal and community responsibility f</w:t>
            </w:r>
            <w:r w:rsidR="00161B0E">
              <w:rPr>
                <w:color w:val="000000" w:themeColor="text1"/>
              </w:rPr>
              <w:t>or health and wellbeing.</w:t>
            </w:r>
            <w:r w:rsidR="001276B8">
              <w:rPr>
                <w:rStyle w:val="FootnoteReference"/>
                <w:color w:val="000000" w:themeColor="text1"/>
              </w:rPr>
              <w:footnoteReference w:id="6"/>
            </w:r>
          </w:p>
        </w:tc>
        <w:tc>
          <w:tcPr>
            <w:tcW w:w="3650" w:type="dxa"/>
          </w:tcPr>
          <w:p w:rsidR="001276B8" w:rsidRDefault="00EF7279" w:rsidP="00E9676C">
            <w:pPr>
              <w:jc w:val="both"/>
            </w:pPr>
            <w:r>
              <w:t>Evidence on which to base a decision of whether or not to implement a family history project</w:t>
            </w:r>
            <w:r w:rsidR="00D55507">
              <w:t>.</w:t>
            </w:r>
          </w:p>
        </w:tc>
      </w:tr>
      <w:tr w:rsidR="001276B8" w:rsidTr="00921338">
        <w:tc>
          <w:tcPr>
            <w:tcW w:w="6204" w:type="dxa"/>
          </w:tcPr>
          <w:p w:rsidR="008F4F64" w:rsidRDefault="001276B8" w:rsidP="00E9676C">
            <w:pPr>
              <w:pStyle w:val="ListParagraph"/>
              <w:numPr>
                <w:ilvl w:val="0"/>
                <w:numId w:val="23"/>
              </w:numPr>
              <w:jc w:val="both"/>
            </w:pPr>
            <w:r w:rsidRPr="005B3C98">
              <w:rPr>
                <w:color w:val="000000" w:themeColor="text1"/>
              </w:rPr>
              <w:t>Establish a trusted and accessible portal of information for the general public through the department’s Better Health Channel.</w:t>
            </w:r>
          </w:p>
        </w:tc>
        <w:tc>
          <w:tcPr>
            <w:tcW w:w="3650" w:type="dxa"/>
          </w:tcPr>
          <w:p w:rsidR="001276B8" w:rsidRDefault="00F81401" w:rsidP="00E9676C">
            <w:pPr>
              <w:jc w:val="both"/>
            </w:pPr>
            <w:r>
              <w:t>The general public use the Better Health channel as a trusted source of genetic and genomic information</w:t>
            </w:r>
            <w:r w:rsidR="00D55507">
              <w:t>.</w:t>
            </w:r>
          </w:p>
        </w:tc>
      </w:tr>
      <w:tr w:rsidR="001276B8" w:rsidTr="00921338">
        <w:tc>
          <w:tcPr>
            <w:tcW w:w="6204" w:type="dxa"/>
          </w:tcPr>
          <w:p w:rsidR="008F4F64" w:rsidRDefault="00C841B1" w:rsidP="00E9676C">
            <w:pPr>
              <w:pStyle w:val="ListParagraph"/>
              <w:numPr>
                <w:ilvl w:val="0"/>
                <w:numId w:val="23"/>
              </w:numPr>
              <w:jc w:val="both"/>
            </w:pPr>
            <w:r>
              <w:rPr>
                <w:color w:val="000000" w:themeColor="text1"/>
              </w:rPr>
              <w:t xml:space="preserve">Liaise </w:t>
            </w:r>
            <w:r w:rsidR="001276B8" w:rsidRPr="005B3C98">
              <w:rPr>
                <w:color w:val="000000" w:themeColor="text1"/>
              </w:rPr>
              <w:t xml:space="preserve">with relevant </w:t>
            </w:r>
            <w:r>
              <w:rPr>
                <w:color w:val="000000" w:themeColor="text1"/>
              </w:rPr>
              <w:t xml:space="preserve">clinical </w:t>
            </w:r>
            <w:r w:rsidR="001276B8" w:rsidRPr="005B3C98">
              <w:rPr>
                <w:color w:val="000000" w:themeColor="text1"/>
              </w:rPr>
              <w:t xml:space="preserve">stakeholders, and their training bodies, </w:t>
            </w:r>
            <w:r>
              <w:rPr>
                <w:color w:val="000000" w:themeColor="text1"/>
              </w:rPr>
              <w:t xml:space="preserve">to ensure that </w:t>
            </w:r>
            <w:r w:rsidR="001276B8" w:rsidRPr="005B3C98">
              <w:rPr>
                <w:color w:val="000000" w:themeColor="text1"/>
              </w:rPr>
              <w:t>genetic</w:t>
            </w:r>
            <w:r w:rsidR="001276B8">
              <w:rPr>
                <w:color w:val="000000" w:themeColor="text1"/>
              </w:rPr>
              <w:t>s</w:t>
            </w:r>
            <w:r w:rsidR="001276B8" w:rsidRPr="005B3C98">
              <w:rPr>
                <w:color w:val="000000" w:themeColor="text1"/>
              </w:rPr>
              <w:t xml:space="preserve"> and genomics </w:t>
            </w:r>
            <w:r>
              <w:rPr>
                <w:color w:val="000000" w:themeColor="text1"/>
              </w:rPr>
              <w:t xml:space="preserve">are incorporated </w:t>
            </w:r>
            <w:r w:rsidR="001276B8" w:rsidRPr="005B3C98">
              <w:rPr>
                <w:color w:val="000000" w:themeColor="text1"/>
              </w:rPr>
              <w:t>into undergraduate and post-graduate training and continuing professional development.</w:t>
            </w:r>
          </w:p>
        </w:tc>
        <w:tc>
          <w:tcPr>
            <w:tcW w:w="3650" w:type="dxa"/>
          </w:tcPr>
          <w:p w:rsidR="001276B8" w:rsidRDefault="00F81401" w:rsidP="00E9676C">
            <w:pPr>
              <w:jc w:val="both"/>
            </w:pPr>
            <w:r>
              <w:t>Improved awareness and understanding of genomics among health professionals</w:t>
            </w:r>
            <w:r w:rsidR="00D55507">
              <w:t>.</w:t>
            </w:r>
          </w:p>
        </w:tc>
      </w:tr>
    </w:tbl>
    <w:p w:rsidR="0054288F" w:rsidRPr="00921338" w:rsidRDefault="0054288F" w:rsidP="00921338">
      <w:pPr>
        <w:spacing w:after="0" w:line="240" w:lineRule="auto"/>
        <w:rPr>
          <w:rFonts w:ascii="Arial" w:hAnsi="Arial"/>
          <w:b/>
          <w:color w:val="365F91" w:themeColor="accent1" w:themeShade="BF"/>
          <w:sz w:val="24"/>
        </w:rPr>
      </w:pPr>
    </w:p>
    <w:p w:rsidR="0054288F" w:rsidRDefault="00141D45" w:rsidP="00921338">
      <w:pPr>
        <w:spacing w:after="120" w:line="240" w:lineRule="auto"/>
        <w:rPr>
          <w:rFonts w:ascii="Arial" w:hAnsi="Arial"/>
          <w:b/>
          <w:color w:val="365F91" w:themeColor="accent1" w:themeShade="BF"/>
          <w:sz w:val="24"/>
        </w:rPr>
      </w:pPr>
      <w:r w:rsidRPr="00141D45">
        <w:rPr>
          <w:rFonts w:ascii="Arial" w:hAnsi="Arial"/>
          <w:b/>
          <w:color w:val="365F91" w:themeColor="accent1" w:themeShade="BF"/>
          <w:sz w:val="24"/>
        </w:rPr>
        <w:t>Issues for the longer term</w:t>
      </w:r>
    </w:p>
    <w:p w:rsidR="00141D45" w:rsidRDefault="00141D45" w:rsidP="009376BD">
      <w:pPr>
        <w:spacing w:after="120" w:line="240" w:lineRule="auto"/>
        <w:jc w:val="both"/>
        <w:rPr>
          <w:rFonts w:cs="Arial"/>
          <w:bCs/>
          <w:szCs w:val="24"/>
        </w:rPr>
      </w:pPr>
      <w:r w:rsidRPr="009376BD">
        <w:rPr>
          <w:rFonts w:cs="Arial"/>
          <w:bCs/>
          <w:szCs w:val="24"/>
        </w:rPr>
        <w:t xml:space="preserve">The issue of sharing genomic information </w:t>
      </w:r>
      <w:r w:rsidR="00CA36EB" w:rsidRPr="009376BD">
        <w:rPr>
          <w:rFonts w:cs="Arial"/>
          <w:bCs/>
          <w:szCs w:val="24"/>
        </w:rPr>
        <w:t>‘</w:t>
      </w:r>
      <w:r w:rsidRPr="009376BD">
        <w:rPr>
          <w:rFonts w:cs="Arial"/>
          <w:bCs/>
          <w:szCs w:val="24"/>
        </w:rPr>
        <w:t>in the public good</w:t>
      </w:r>
      <w:r w:rsidR="00CA36EB" w:rsidRPr="009376BD">
        <w:rPr>
          <w:rFonts w:cs="Arial"/>
          <w:bCs/>
          <w:szCs w:val="24"/>
        </w:rPr>
        <w:t>’</w:t>
      </w:r>
      <w:r w:rsidRPr="009376BD">
        <w:rPr>
          <w:rFonts w:cs="Arial"/>
          <w:bCs/>
          <w:szCs w:val="24"/>
        </w:rPr>
        <w:t xml:space="preserve"> is complex and requires broad and intelligent discussion with the community, scientific and clinical experts and policy makers </w:t>
      </w:r>
      <w:r w:rsidR="00CA36EB" w:rsidRPr="009376BD">
        <w:rPr>
          <w:rFonts w:cs="Arial"/>
          <w:bCs/>
          <w:szCs w:val="24"/>
        </w:rPr>
        <w:t>ensure</w:t>
      </w:r>
      <w:r w:rsidRPr="009376BD">
        <w:rPr>
          <w:rFonts w:cs="Arial"/>
          <w:bCs/>
          <w:szCs w:val="24"/>
        </w:rPr>
        <w:t xml:space="preserve"> </w:t>
      </w:r>
      <w:r w:rsidR="00CA36EB" w:rsidRPr="009376BD">
        <w:rPr>
          <w:rFonts w:cs="Arial"/>
          <w:bCs/>
          <w:szCs w:val="24"/>
        </w:rPr>
        <w:t xml:space="preserve">that </w:t>
      </w:r>
      <w:r w:rsidRPr="009376BD">
        <w:rPr>
          <w:rFonts w:cs="Arial"/>
          <w:bCs/>
          <w:szCs w:val="24"/>
        </w:rPr>
        <w:t>a framework for Victoria reflects the values and desires of the community.</w:t>
      </w:r>
    </w:p>
    <w:p w:rsidR="00693A30" w:rsidRPr="009376BD" w:rsidRDefault="00693A30" w:rsidP="009376BD">
      <w:pPr>
        <w:spacing w:after="0" w:line="240" w:lineRule="auto"/>
        <w:jc w:val="both"/>
        <w:rPr>
          <w:rFonts w:cs="Arial"/>
          <w:bCs/>
          <w:szCs w:val="24"/>
        </w:rPr>
      </w:pPr>
    </w:p>
    <w:p w:rsidR="0096344A" w:rsidRPr="00312C63" w:rsidRDefault="00E24B19" w:rsidP="00312C63">
      <w:pPr>
        <w:pStyle w:val="DHSNumberTex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Vignette 4</w:t>
      </w:r>
    </w:p>
    <w:p w:rsidR="0054288F" w:rsidRDefault="008F4F64" w:rsidP="009376BD">
      <w:pPr>
        <w:pStyle w:val="DHHSbody"/>
        <w:pBdr>
          <w:top w:val="single" w:sz="4" w:space="1" w:color="auto"/>
          <w:left w:val="single" w:sz="4" w:space="4" w:color="auto"/>
          <w:bottom w:val="single" w:sz="4" w:space="1" w:color="auto"/>
          <w:right w:val="single" w:sz="4" w:space="4" w:color="auto"/>
        </w:pBdr>
        <w:spacing w:line="240" w:lineRule="auto"/>
        <w:jc w:val="both"/>
        <w:rPr>
          <w:szCs w:val="24"/>
        </w:rPr>
      </w:pPr>
      <w:r w:rsidRPr="00921338">
        <w:rPr>
          <w:rFonts w:asciiTheme="minorHAnsi" w:hAnsiTheme="minorHAnsi"/>
          <w:sz w:val="22"/>
          <w:szCs w:val="24"/>
        </w:rPr>
        <w:t xml:space="preserve">A GP is asked by a patient to explain the results of a genetic test she had ordered from a US-based ‘direct-to-consumer’ genetic testing company.  The results stated that the patient has an increased risk of developing Alzheimer disease.  The patient is extremely anxious and expresses concerns about proceeding with her plans to have children because of the risk they will ‘inherit’ her </w:t>
      </w:r>
      <w:r w:rsidR="00C841B1">
        <w:rPr>
          <w:rFonts w:asciiTheme="minorHAnsi" w:hAnsiTheme="minorHAnsi"/>
          <w:sz w:val="22"/>
          <w:szCs w:val="24"/>
        </w:rPr>
        <w:t>risk</w:t>
      </w:r>
      <w:r w:rsidRPr="00921338">
        <w:rPr>
          <w:rFonts w:asciiTheme="minorHAnsi" w:hAnsiTheme="minorHAnsi"/>
          <w:sz w:val="22"/>
          <w:szCs w:val="24"/>
        </w:rPr>
        <w:t>.</w:t>
      </w:r>
    </w:p>
    <w:p w:rsidR="00141D45" w:rsidRPr="005B3C98" w:rsidRDefault="00141D45" w:rsidP="002E7231">
      <w:pPr>
        <w:rPr>
          <w:sz w:val="20"/>
        </w:rPr>
      </w:pPr>
    </w:p>
    <w:p w:rsidR="00461EFB" w:rsidRPr="00921338" w:rsidRDefault="00592C77" w:rsidP="00CC7DBD">
      <w:pPr>
        <w:pBdr>
          <w:top w:val="single" w:sz="4" w:space="1" w:color="auto"/>
          <w:left w:val="single" w:sz="4" w:space="4" w:color="auto"/>
          <w:bottom w:val="single" w:sz="4" w:space="1" w:color="auto"/>
          <w:right w:val="single" w:sz="4" w:space="4" w:color="auto"/>
        </w:pBdr>
        <w:jc w:val="center"/>
        <w:rPr>
          <w:b/>
          <w:i/>
        </w:rPr>
      </w:pPr>
      <w:r>
        <w:rPr>
          <w:b/>
          <w:i/>
          <w:color w:val="000000" w:themeColor="text1"/>
        </w:rPr>
        <w:t xml:space="preserve">Q4. </w:t>
      </w:r>
      <w:r w:rsidR="008F4F64" w:rsidRPr="00921338">
        <w:rPr>
          <w:b/>
          <w:i/>
          <w:color w:val="000000" w:themeColor="text1"/>
        </w:rPr>
        <w:t>Are the proposed actions the right areas to achieve the vision or are there other actions of higher priority that should be considered?</w:t>
      </w:r>
    </w:p>
    <w:p w:rsidR="00C2449A" w:rsidRDefault="00C2449A">
      <w:pPr>
        <w:rPr>
          <w:rFonts w:asciiTheme="majorHAnsi" w:eastAsiaTheme="majorEastAsia" w:hAnsiTheme="majorHAnsi" w:cstheme="majorBidi"/>
          <w:color w:val="17365D" w:themeColor="text2" w:themeShade="BF"/>
          <w:spacing w:val="5"/>
          <w:sz w:val="52"/>
          <w:szCs w:val="52"/>
          <w:lang w:val="en-US"/>
        </w:rPr>
      </w:pPr>
      <w:r>
        <w:br w:type="page"/>
      </w:r>
    </w:p>
    <w:p w:rsidR="005D6C23" w:rsidRDefault="005D6C23" w:rsidP="005D6C23">
      <w:pPr>
        <w:pStyle w:val="Heading1"/>
        <w:spacing w:after="240"/>
      </w:pPr>
      <w:bookmarkStart w:id="25" w:name="_Toc458511947"/>
      <w:r w:rsidRPr="006E59DC">
        <w:lastRenderedPageBreak/>
        <w:t xml:space="preserve">Clarifying </w:t>
      </w:r>
      <w:r>
        <w:t xml:space="preserve">the </w:t>
      </w:r>
      <w:r w:rsidRPr="006E59DC">
        <w:t xml:space="preserve">ethical and legal </w:t>
      </w:r>
      <w:r>
        <w:t>framework</w:t>
      </w:r>
      <w:bookmarkEnd w:id="25"/>
    </w:p>
    <w:p w:rsidR="005D6C23" w:rsidRPr="006E59DC" w:rsidRDefault="005D6C23" w:rsidP="005D6C23">
      <w:pPr>
        <w:spacing w:line="240" w:lineRule="auto"/>
        <w:rPr>
          <w:rFonts w:ascii="Arial" w:hAnsi="Arial"/>
          <w:b/>
          <w:color w:val="365F91" w:themeColor="accent1" w:themeShade="BF"/>
          <w:sz w:val="24"/>
        </w:rPr>
      </w:pPr>
      <w:r w:rsidRPr="006E59DC">
        <w:rPr>
          <w:rFonts w:ascii="Arial" w:hAnsi="Arial"/>
          <w:b/>
          <w:color w:val="365F91" w:themeColor="accent1" w:themeShade="BF"/>
          <w:sz w:val="24"/>
        </w:rPr>
        <w:t>Key issues</w:t>
      </w:r>
    </w:p>
    <w:p w:rsidR="005D6C23" w:rsidRPr="006E59DC" w:rsidRDefault="005D6C23" w:rsidP="005D6C23">
      <w:pPr>
        <w:pStyle w:val="ListParagraph"/>
        <w:numPr>
          <w:ilvl w:val="0"/>
          <w:numId w:val="2"/>
        </w:numPr>
        <w:jc w:val="both"/>
        <w:rPr>
          <w:rFonts w:eastAsia="Times" w:cs="Times New Roman"/>
          <w:szCs w:val="24"/>
          <w:lang w:val="en-AU"/>
        </w:rPr>
      </w:pPr>
      <w:r w:rsidRPr="006E59DC">
        <w:rPr>
          <w:rFonts w:eastAsia="Times" w:cs="Times New Roman"/>
          <w:szCs w:val="24"/>
          <w:lang w:val="en-AU"/>
        </w:rPr>
        <w:t>An individual’s genetic and genomic information has ramifications for his/her health and lifestyle choices, as well as those of relatives and future generations.</w:t>
      </w:r>
    </w:p>
    <w:p w:rsidR="005D6C23" w:rsidRDefault="005D6C23" w:rsidP="005D6C23">
      <w:pPr>
        <w:pStyle w:val="ListParagraph"/>
        <w:numPr>
          <w:ilvl w:val="0"/>
          <w:numId w:val="2"/>
        </w:numPr>
        <w:jc w:val="both"/>
        <w:rPr>
          <w:rFonts w:eastAsia="Times" w:cs="Times New Roman"/>
          <w:szCs w:val="24"/>
          <w:lang w:val="en-AU"/>
        </w:rPr>
      </w:pPr>
      <w:r w:rsidRPr="006E59DC">
        <w:rPr>
          <w:rFonts w:eastAsia="Times" w:cs="Times New Roman"/>
          <w:szCs w:val="24"/>
          <w:lang w:val="en-AU"/>
        </w:rPr>
        <w:t>A balance is needed between an individual‘s rights</w:t>
      </w:r>
      <w:r w:rsidR="00AF0BD0">
        <w:rPr>
          <w:rFonts w:eastAsia="Times" w:cs="Times New Roman"/>
          <w:szCs w:val="24"/>
          <w:lang w:val="en-AU"/>
        </w:rPr>
        <w:t>,</w:t>
      </w:r>
      <w:r w:rsidRPr="006E59DC">
        <w:rPr>
          <w:rFonts w:eastAsia="Times" w:cs="Times New Roman"/>
          <w:szCs w:val="24"/>
          <w:lang w:val="en-AU"/>
        </w:rPr>
        <w:t xml:space="preserve"> community responsibility</w:t>
      </w:r>
      <w:r w:rsidR="00AF0BD0">
        <w:rPr>
          <w:rFonts w:eastAsia="Times" w:cs="Times New Roman"/>
          <w:szCs w:val="24"/>
          <w:lang w:val="en-AU"/>
        </w:rPr>
        <w:t xml:space="preserve"> and health professionals</w:t>
      </w:r>
      <w:r w:rsidR="000333D8">
        <w:rPr>
          <w:rFonts w:eastAsia="Times" w:cs="Times New Roman"/>
          <w:szCs w:val="24"/>
          <w:lang w:val="en-AU"/>
        </w:rPr>
        <w:t>’</w:t>
      </w:r>
      <w:r w:rsidR="00AF0BD0">
        <w:rPr>
          <w:rFonts w:eastAsia="Times" w:cs="Times New Roman"/>
          <w:szCs w:val="24"/>
          <w:lang w:val="en-AU"/>
        </w:rPr>
        <w:t xml:space="preserve"> obligations</w:t>
      </w:r>
      <w:r w:rsidRPr="006E59DC">
        <w:rPr>
          <w:rFonts w:eastAsia="Times" w:cs="Times New Roman"/>
          <w:szCs w:val="24"/>
          <w:lang w:val="en-AU"/>
        </w:rPr>
        <w:t>.</w:t>
      </w:r>
    </w:p>
    <w:p w:rsidR="007D200E" w:rsidRPr="00A4685A" w:rsidRDefault="007D200E" w:rsidP="005D6C23">
      <w:pPr>
        <w:pStyle w:val="ListParagraph"/>
        <w:numPr>
          <w:ilvl w:val="0"/>
          <w:numId w:val="2"/>
        </w:numPr>
        <w:jc w:val="both"/>
        <w:rPr>
          <w:rFonts w:eastAsia="Times" w:cs="Times New Roman"/>
          <w:szCs w:val="24"/>
          <w:lang w:val="en-AU"/>
        </w:rPr>
      </w:pPr>
      <w:r>
        <w:rPr>
          <w:rFonts w:eastAsia="Times" w:cs="Times New Roman"/>
          <w:szCs w:val="24"/>
          <w:lang w:val="en-AU"/>
        </w:rPr>
        <w:t>Genomic sequencing raises issues around privacy for patients and family members.</w:t>
      </w:r>
    </w:p>
    <w:p w:rsidR="005D6C23" w:rsidRPr="006E59DC" w:rsidRDefault="005D6C23" w:rsidP="005D6C23">
      <w:pPr>
        <w:spacing w:line="240" w:lineRule="auto"/>
        <w:rPr>
          <w:rFonts w:ascii="Arial" w:hAnsi="Arial"/>
          <w:b/>
          <w:color w:val="365F91" w:themeColor="accent1" w:themeShade="BF"/>
          <w:sz w:val="24"/>
        </w:rPr>
      </w:pPr>
      <w:r w:rsidRPr="00141D45">
        <w:rPr>
          <w:rFonts w:ascii="Arial" w:hAnsi="Arial"/>
          <w:b/>
          <w:color w:val="365F91" w:themeColor="accent1" w:themeShade="BF"/>
          <w:sz w:val="24"/>
        </w:rPr>
        <w:t xml:space="preserve">Steps already taken </w:t>
      </w:r>
    </w:p>
    <w:p w:rsidR="0054288F" w:rsidRDefault="005D6C23" w:rsidP="00921338">
      <w:pPr>
        <w:spacing w:after="240" w:line="240" w:lineRule="auto"/>
        <w:jc w:val="both"/>
        <w:rPr>
          <w:rFonts w:cs="Arial"/>
          <w:szCs w:val="24"/>
        </w:rPr>
      </w:pPr>
      <w:r w:rsidRPr="006E59DC">
        <w:rPr>
          <w:rFonts w:cs="Arial"/>
          <w:szCs w:val="24"/>
        </w:rPr>
        <w:t xml:space="preserve">With </w:t>
      </w:r>
      <w:r w:rsidR="00715B8E">
        <w:rPr>
          <w:rFonts w:cs="Arial"/>
          <w:szCs w:val="24"/>
        </w:rPr>
        <w:t>Government</w:t>
      </w:r>
      <w:r w:rsidRPr="006E59DC">
        <w:rPr>
          <w:rFonts w:cs="Arial"/>
          <w:szCs w:val="24"/>
        </w:rPr>
        <w:t xml:space="preserve"> support, </w:t>
      </w:r>
      <w:r w:rsidR="00C2449A">
        <w:rPr>
          <w:rFonts w:cs="Arial"/>
          <w:szCs w:val="24"/>
        </w:rPr>
        <w:t xml:space="preserve">the University of </w:t>
      </w:r>
      <w:r w:rsidRPr="006E59DC">
        <w:rPr>
          <w:rFonts w:cs="Arial"/>
          <w:szCs w:val="24"/>
        </w:rPr>
        <w:t xml:space="preserve">Melbourne Law School </w:t>
      </w:r>
      <w:r>
        <w:rPr>
          <w:rFonts w:cs="Arial"/>
          <w:szCs w:val="24"/>
        </w:rPr>
        <w:t>has contributed to consideration of</w:t>
      </w:r>
      <w:r w:rsidRPr="006E59DC">
        <w:rPr>
          <w:rFonts w:cs="Arial"/>
          <w:szCs w:val="24"/>
        </w:rPr>
        <w:t xml:space="preserve"> the ethical, legal and </w:t>
      </w:r>
      <w:r>
        <w:rPr>
          <w:rFonts w:cs="Arial"/>
          <w:szCs w:val="24"/>
        </w:rPr>
        <w:t>social implications (ELSI)</w:t>
      </w:r>
      <w:r w:rsidRPr="006E59DC">
        <w:rPr>
          <w:rFonts w:cs="Arial"/>
          <w:szCs w:val="24"/>
        </w:rPr>
        <w:t xml:space="preserve"> of </w:t>
      </w:r>
      <w:r>
        <w:rPr>
          <w:rFonts w:cs="Arial"/>
          <w:szCs w:val="24"/>
        </w:rPr>
        <w:t xml:space="preserve">clinical and </w:t>
      </w:r>
      <w:r w:rsidR="00F9075F" w:rsidRPr="006E59DC">
        <w:rPr>
          <w:rFonts w:cs="Arial"/>
          <w:szCs w:val="24"/>
        </w:rPr>
        <w:t xml:space="preserve">research </w:t>
      </w:r>
      <w:r w:rsidRPr="006E59DC">
        <w:rPr>
          <w:rFonts w:cs="Arial"/>
          <w:szCs w:val="24"/>
        </w:rPr>
        <w:t xml:space="preserve">genomic and </w:t>
      </w:r>
      <w:r w:rsidR="00F9075F">
        <w:rPr>
          <w:rFonts w:cs="Arial"/>
          <w:szCs w:val="24"/>
        </w:rPr>
        <w:t xml:space="preserve">their </w:t>
      </w:r>
      <w:r w:rsidRPr="006E59DC">
        <w:rPr>
          <w:rFonts w:cs="Arial"/>
          <w:szCs w:val="24"/>
        </w:rPr>
        <w:t xml:space="preserve">implications for </w:t>
      </w:r>
      <w:r w:rsidR="00F9075F">
        <w:rPr>
          <w:rFonts w:cs="Arial"/>
          <w:szCs w:val="24"/>
        </w:rPr>
        <w:t xml:space="preserve">driving </w:t>
      </w:r>
      <w:r w:rsidRPr="006E59DC">
        <w:rPr>
          <w:rFonts w:cs="Arial"/>
          <w:szCs w:val="24"/>
        </w:rPr>
        <w:t>Victoria’s future economic advantage.</w:t>
      </w:r>
      <w:r>
        <w:rPr>
          <w:rFonts w:cs="Arial"/>
          <w:szCs w:val="24"/>
        </w:rPr>
        <w:t xml:space="preserve">  This included assessing community expectations about governance of genomic information repositories with the Melbourne Genomics Health Alliance.</w:t>
      </w:r>
    </w:p>
    <w:tbl>
      <w:tblPr>
        <w:tblStyle w:val="TableGrid"/>
        <w:tblW w:w="9889" w:type="dxa"/>
        <w:tblLook w:val="04A0" w:firstRow="1" w:lastRow="0" w:firstColumn="1" w:lastColumn="0" w:noHBand="0" w:noVBand="1"/>
      </w:tblPr>
      <w:tblGrid>
        <w:gridCol w:w="5778"/>
        <w:gridCol w:w="4111"/>
      </w:tblGrid>
      <w:tr w:rsidR="005D6C23" w:rsidTr="00921338">
        <w:tc>
          <w:tcPr>
            <w:tcW w:w="5778" w:type="dxa"/>
          </w:tcPr>
          <w:p w:rsidR="005D6C23" w:rsidRDefault="005D6C23" w:rsidP="00990DF4">
            <w:pPr>
              <w:rPr>
                <w:rFonts w:ascii="Arial" w:hAnsi="Arial"/>
                <w:b/>
                <w:color w:val="365F91" w:themeColor="accent1" w:themeShade="BF"/>
                <w:sz w:val="24"/>
              </w:rPr>
            </w:pPr>
            <w:r w:rsidRPr="00141D45">
              <w:rPr>
                <w:rFonts w:ascii="Arial" w:hAnsi="Arial"/>
                <w:b/>
                <w:color w:val="365F91" w:themeColor="accent1" w:themeShade="BF"/>
                <w:sz w:val="24"/>
              </w:rPr>
              <w:t>Proposed actions</w:t>
            </w:r>
          </w:p>
        </w:tc>
        <w:tc>
          <w:tcPr>
            <w:tcW w:w="4111" w:type="dxa"/>
          </w:tcPr>
          <w:p w:rsidR="005D6C23" w:rsidRDefault="005D6C23" w:rsidP="00990DF4">
            <w:pPr>
              <w:rPr>
                <w:rFonts w:ascii="Arial" w:hAnsi="Arial"/>
                <w:b/>
                <w:color w:val="365F91" w:themeColor="accent1" w:themeShade="BF"/>
                <w:sz w:val="24"/>
              </w:rPr>
            </w:pPr>
            <w:r w:rsidRPr="00A4685A">
              <w:rPr>
                <w:rFonts w:ascii="Arial" w:hAnsi="Arial"/>
                <w:b/>
                <w:color w:val="365F91" w:themeColor="accent1" w:themeShade="BF"/>
                <w:sz w:val="24"/>
              </w:rPr>
              <w:t>Expected outcomes</w:t>
            </w:r>
          </w:p>
        </w:tc>
      </w:tr>
      <w:tr w:rsidR="005D6C23" w:rsidTr="00921338">
        <w:tc>
          <w:tcPr>
            <w:tcW w:w="5778" w:type="dxa"/>
          </w:tcPr>
          <w:p w:rsidR="005D6C23" w:rsidRPr="00A4685A" w:rsidRDefault="005D6C23" w:rsidP="00E9676C">
            <w:pPr>
              <w:pStyle w:val="ListParagraph"/>
              <w:numPr>
                <w:ilvl w:val="0"/>
                <w:numId w:val="25"/>
              </w:numPr>
              <w:jc w:val="both"/>
              <w:rPr>
                <w:rFonts w:ascii="Arial" w:hAnsi="Arial"/>
                <w:b/>
                <w:color w:val="365F91" w:themeColor="accent1" w:themeShade="BF"/>
                <w:sz w:val="24"/>
              </w:rPr>
            </w:pPr>
            <w:r w:rsidRPr="00A4685A">
              <w:rPr>
                <w:color w:val="000000" w:themeColor="text1"/>
              </w:rPr>
              <w:t>Support collaborative research of</w:t>
            </w:r>
            <w:r w:rsidR="00391FEF">
              <w:rPr>
                <w:color w:val="000000" w:themeColor="text1"/>
              </w:rPr>
              <w:t xml:space="preserve"> the</w:t>
            </w:r>
            <w:r w:rsidRPr="00A4685A">
              <w:rPr>
                <w:color w:val="000000" w:themeColor="text1"/>
              </w:rPr>
              <w:t xml:space="preserve"> ELSI of genomics</w:t>
            </w:r>
            <w:r>
              <w:rPr>
                <w:color w:val="000000" w:themeColor="text1"/>
              </w:rPr>
              <w:t xml:space="preserve"> in clinical practice</w:t>
            </w:r>
            <w:r w:rsidRPr="00A4685A">
              <w:rPr>
                <w:color w:val="000000" w:themeColor="text1"/>
              </w:rPr>
              <w:t>.</w:t>
            </w:r>
          </w:p>
        </w:tc>
        <w:tc>
          <w:tcPr>
            <w:tcW w:w="4111" w:type="dxa"/>
          </w:tcPr>
          <w:p w:rsidR="005D6C23" w:rsidRDefault="008F4F64" w:rsidP="00E9676C">
            <w:pPr>
              <w:jc w:val="both"/>
              <w:rPr>
                <w:rFonts w:ascii="Arial" w:hAnsi="Arial"/>
                <w:b/>
                <w:color w:val="365F91" w:themeColor="accent1" w:themeShade="BF"/>
                <w:sz w:val="24"/>
              </w:rPr>
            </w:pPr>
            <w:r w:rsidRPr="00921338">
              <w:t xml:space="preserve">Clear guidelines </w:t>
            </w:r>
            <w:r w:rsidR="00F9075F">
              <w:t xml:space="preserve">to </w:t>
            </w:r>
            <w:r w:rsidR="0052651D">
              <w:t>manage personal genomic information</w:t>
            </w:r>
            <w:r w:rsidR="0052651D">
              <w:rPr>
                <w:rFonts w:ascii="Arial" w:hAnsi="Arial"/>
                <w:b/>
                <w:color w:val="365F91" w:themeColor="accent1" w:themeShade="BF"/>
                <w:sz w:val="24"/>
              </w:rPr>
              <w:t>.</w:t>
            </w:r>
          </w:p>
        </w:tc>
      </w:tr>
      <w:tr w:rsidR="005D6C23" w:rsidTr="00921338">
        <w:tc>
          <w:tcPr>
            <w:tcW w:w="5778" w:type="dxa"/>
          </w:tcPr>
          <w:p w:rsidR="005D6C23" w:rsidRPr="00A4685A" w:rsidRDefault="005D6C23" w:rsidP="00E9676C">
            <w:pPr>
              <w:pStyle w:val="ListParagraph"/>
              <w:numPr>
                <w:ilvl w:val="0"/>
                <w:numId w:val="25"/>
              </w:numPr>
              <w:jc w:val="both"/>
              <w:rPr>
                <w:rFonts w:ascii="Arial" w:hAnsi="Arial"/>
                <w:b/>
                <w:color w:val="365F91" w:themeColor="accent1" w:themeShade="BF"/>
                <w:sz w:val="24"/>
              </w:rPr>
            </w:pPr>
            <w:r w:rsidRPr="00A4685A">
              <w:rPr>
                <w:color w:val="000000" w:themeColor="text1"/>
              </w:rPr>
              <w:t xml:space="preserve">Work with </w:t>
            </w:r>
            <w:r w:rsidR="00F9075F">
              <w:rPr>
                <w:color w:val="000000" w:themeColor="text1"/>
              </w:rPr>
              <w:t xml:space="preserve">stakeholders, including </w:t>
            </w:r>
            <w:r w:rsidRPr="00A4685A">
              <w:rPr>
                <w:color w:val="000000" w:themeColor="text1"/>
              </w:rPr>
              <w:t>consumer advocacy groups</w:t>
            </w:r>
            <w:r w:rsidR="00F9075F">
              <w:rPr>
                <w:color w:val="000000" w:themeColor="text1"/>
              </w:rPr>
              <w:t>,</w:t>
            </w:r>
            <w:r w:rsidRPr="00A4685A">
              <w:rPr>
                <w:color w:val="000000" w:themeColor="text1"/>
              </w:rPr>
              <w:t xml:space="preserve"> to develop a communications and engagement strategy to raise awareness about the ELSI of genomics.</w:t>
            </w:r>
          </w:p>
        </w:tc>
        <w:tc>
          <w:tcPr>
            <w:tcW w:w="4111" w:type="dxa"/>
          </w:tcPr>
          <w:p w:rsidR="005D6C23" w:rsidRDefault="008F4F64" w:rsidP="00E9676C">
            <w:pPr>
              <w:jc w:val="both"/>
              <w:rPr>
                <w:rFonts w:ascii="Arial" w:hAnsi="Arial"/>
                <w:b/>
                <w:color w:val="365F91" w:themeColor="accent1" w:themeShade="BF"/>
                <w:sz w:val="24"/>
              </w:rPr>
            </w:pPr>
            <w:r w:rsidRPr="00921338">
              <w:t>Informed community discussio</w:t>
            </w:r>
            <w:r w:rsidR="008F7D82">
              <w:t>n about the ELSI of genomics.</w:t>
            </w:r>
          </w:p>
        </w:tc>
      </w:tr>
      <w:tr w:rsidR="005D6C23" w:rsidTr="00921338">
        <w:tc>
          <w:tcPr>
            <w:tcW w:w="5778" w:type="dxa"/>
          </w:tcPr>
          <w:p w:rsidR="005D6C23" w:rsidRPr="00A4685A" w:rsidRDefault="005D6C23" w:rsidP="00E9676C">
            <w:pPr>
              <w:pStyle w:val="ListParagraph"/>
              <w:numPr>
                <w:ilvl w:val="0"/>
                <w:numId w:val="25"/>
              </w:numPr>
              <w:jc w:val="both"/>
              <w:rPr>
                <w:rFonts w:ascii="Arial" w:hAnsi="Arial"/>
                <w:b/>
                <w:color w:val="365F91" w:themeColor="accent1" w:themeShade="BF"/>
                <w:sz w:val="24"/>
              </w:rPr>
            </w:pPr>
            <w:r w:rsidRPr="00A4685A">
              <w:rPr>
                <w:color w:val="000000" w:themeColor="text1"/>
              </w:rPr>
              <w:t>Clarify</w:t>
            </w:r>
            <w:r w:rsidR="00391FEF">
              <w:rPr>
                <w:color w:val="000000" w:themeColor="text1"/>
              </w:rPr>
              <w:t xml:space="preserve"> the</w:t>
            </w:r>
            <w:r w:rsidRPr="00A4685A">
              <w:rPr>
                <w:color w:val="000000" w:themeColor="text1"/>
              </w:rPr>
              <w:t xml:space="preserve"> ELSI priorities for consideration </w:t>
            </w:r>
            <w:r w:rsidR="00391FEF">
              <w:rPr>
                <w:color w:val="000000" w:themeColor="text1"/>
              </w:rPr>
              <w:t xml:space="preserve">and action </w:t>
            </w:r>
            <w:r w:rsidRPr="00A4685A">
              <w:rPr>
                <w:color w:val="000000" w:themeColor="text1"/>
              </w:rPr>
              <w:t>both locally and nationally</w:t>
            </w:r>
            <w:r>
              <w:rPr>
                <w:color w:val="000000" w:themeColor="text1"/>
              </w:rPr>
              <w:t>.</w:t>
            </w:r>
          </w:p>
        </w:tc>
        <w:tc>
          <w:tcPr>
            <w:tcW w:w="4111" w:type="dxa"/>
          </w:tcPr>
          <w:p w:rsidR="005D6C23" w:rsidRDefault="008F4F64" w:rsidP="00E9676C">
            <w:pPr>
              <w:jc w:val="both"/>
              <w:rPr>
                <w:rFonts w:ascii="Arial" w:hAnsi="Arial"/>
                <w:b/>
                <w:color w:val="365F91" w:themeColor="accent1" w:themeShade="BF"/>
                <w:sz w:val="24"/>
              </w:rPr>
            </w:pPr>
            <w:r w:rsidRPr="00921338">
              <w:t xml:space="preserve">A list of priorities and </w:t>
            </w:r>
            <w:r w:rsidR="00391FEF">
              <w:t xml:space="preserve">relevant </w:t>
            </w:r>
            <w:r w:rsidRPr="00921338">
              <w:t>for</w:t>
            </w:r>
            <w:r w:rsidR="00391FEF">
              <w:t>a</w:t>
            </w:r>
            <w:r w:rsidRPr="00921338">
              <w:t xml:space="preserve"> (local or national) </w:t>
            </w:r>
            <w:r w:rsidR="00391FEF">
              <w:t xml:space="preserve">identified </w:t>
            </w:r>
            <w:r w:rsidRPr="00921338">
              <w:t>to progress</w:t>
            </w:r>
            <w:r w:rsidR="00391FEF">
              <w:t xml:space="preserve"> them</w:t>
            </w:r>
            <w:r w:rsidR="00CB434D">
              <w:t>.</w:t>
            </w:r>
            <w:r w:rsidR="00CB434D">
              <w:rPr>
                <w:rFonts w:ascii="Arial" w:hAnsi="Arial"/>
                <w:b/>
                <w:color w:val="365F91" w:themeColor="accent1" w:themeShade="BF"/>
                <w:sz w:val="24"/>
              </w:rPr>
              <w:t xml:space="preserve"> </w:t>
            </w:r>
          </w:p>
        </w:tc>
      </w:tr>
      <w:tr w:rsidR="005D6C23" w:rsidTr="00921338">
        <w:tc>
          <w:tcPr>
            <w:tcW w:w="5778" w:type="dxa"/>
          </w:tcPr>
          <w:p w:rsidR="005D6C23" w:rsidRPr="00A4685A" w:rsidRDefault="005D6C23" w:rsidP="00E9676C">
            <w:pPr>
              <w:pStyle w:val="ListParagraph"/>
              <w:numPr>
                <w:ilvl w:val="0"/>
                <w:numId w:val="25"/>
              </w:numPr>
              <w:jc w:val="both"/>
              <w:rPr>
                <w:rFonts w:ascii="Arial" w:hAnsi="Arial"/>
                <w:b/>
                <w:color w:val="365F91" w:themeColor="accent1" w:themeShade="BF"/>
                <w:sz w:val="24"/>
              </w:rPr>
            </w:pPr>
            <w:r w:rsidRPr="006E59DC">
              <w:rPr>
                <w:color w:val="000000" w:themeColor="text1"/>
              </w:rPr>
              <w:t xml:space="preserve">Advocate nationally for an </w:t>
            </w:r>
            <w:r>
              <w:rPr>
                <w:color w:val="000000" w:themeColor="text1"/>
              </w:rPr>
              <w:t>update on</w:t>
            </w:r>
            <w:r w:rsidRPr="006E59DC">
              <w:rPr>
                <w:color w:val="000000" w:themeColor="text1"/>
              </w:rPr>
              <w:t xml:space="preserve"> the implementation, currency and scope of the Australian Law Reform Commission’s 2003 report </w:t>
            </w:r>
            <w:r w:rsidRPr="006E59DC">
              <w:rPr>
                <w:i/>
                <w:color w:val="000000" w:themeColor="text1"/>
              </w:rPr>
              <w:t>Essentially Yours: The Protection of Human Genetic Information in Australia</w:t>
            </w:r>
            <w:r>
              <w:rPr>
                <w:color w:val="000000" w:themeColor="text1"/>
              </w:rPr>
              <w:t>.</w:t>
            </w:r>
          </w:p>
        </w:tc>
        <w:tc>
          <w:tcPr>
            <w:tcW w:w="4111" w:type="dxa"/>
          </w:tcPr>
          <w:p w:rsidR="005D6C23" w:rsidRDefault="005D6C23" w:rsidP="00E9676C">
            <w:pPr>
              <w:jc w:val="both"/>
              <w:rPr>
                <w:rFonts w:ascii="Arial" w:hAnsi="Arial"/>
                <w:b/>
                <w:color w:val="365F91" w:themeColor="accent1" w:themeShade="BF"/>
                <w:sz w:val="24"/>
              </w:rPr>
            </w:pPr>
            <w:r>
              <w:t>A national position on the adequacy of current protection for personal genomic information in Australia.</w:t>
            </w:r>
          </w:p>
        </w:tc>
      </w:tr>
    </w:tbl>
    <w:p w:rsidR="0054288F" w:rsidRDefault="0054288F" w:rsidP="00921338">
      <w:pPr>
        <w:spacing w:after="0" w:line="240" w:lineRule="auto"/>
        <w:rPr>
          <w:rFonts w:ascii="Arial" w:hAnsi="Arial"/>
          <w:b/>
          <w:color w:val="365F91" w:themeColor="accent1" w:themeShade="BF"/>
          <w:sz w:val="24"/>
        </w:rPr>
      </w:pPr>
    </w:p>
    <w:p w:rsidR="0054288F" w:rsidRDefault="005D6C23" w:rsidP="00921338">
      <w:pPr>
        <w:spacing w:after="120" w:line="240" w:lineRule="auto"/>
        <w:rPr>
          <w:rFonts w:ascii="Arial" w:hAnsi="Arial"/>
          <w:b/>
          <w:color w:val="365F91" w:themeColor="accent1" w:themeShade="BF"/>
          <w:sz w:val="24"/>
        </w:rPr>
      </w:pPr>
      <w:r w:rsidRPr="00141D45">
        <w:rPr>
          <w:rFonts w:ascii="Arial" w:hAnsi="Arial"/>
          <w:b/>
          <w:color w:val="365F91" w:themeColor="accent1" w:themeShade="BF"/>
          <w:sz w:val="24"/>
        </w:rPr>
        <w:t>Issues for the longer term</w:t>
      </w:r>
    </w:p>
    <w:p w:rsidR="005D6C23" w:rsidRPr="006E59DC" w:rsidRDefault="005D6C23" w:rsidP="005D6C23">
      <w:pPr>
        <w:spacing w:after="120" w:line="240" w:lineRule="auto"/>
        <w:jc w:val="both"/>
        <w:rPr>
          <w:rFonts w:cs="Arial"/>
          <w:bCs/>
          <w:szCs w:val="24"/>
        </w:rPr>
      </w:pPr>
      <w:r w:rsidRPr="006E59DC">
        <w:rPr>
          <w:rFonts w:cs="Arial"/>
          <w:bCs/>
          <w:szCs w:val="24"/>
        </w:rPr>
        <w:t xml:space="preserve">Policy responses to </w:t>
      </w:r>
      <w:r w:rsidR="00391FEF">
        <w:rPr>
          <w:rFonts w:cs="Arial"/>
          <w:bCs/>
          <w:szCs w:val="24"/>
        </w:rPr>
        <w:t xml:space="preserve">the </w:t>
      </w:r>
      <w:r>
        <w:rPr>
          <w:rFonts w:cs="Arial"/>
          <w:bCs/>
          <w:szCs w:val="24"/>
        </w:rPr>
        <w:t>ELSI</w:t>
      </w:r>
      <w:r w:rsidRPr="006E59DC">
        <w:rPr>
          <w:rFonts w:cs="Arial"/>
          <w:bCs/>
          <w:szCs w:val="24"/>
        </w:rPr>
        <w:t xml:space="preserve"> of genomics must be grounded in clear, consistent and defensible principles. </w:t>
      </w:r>
    </w:p>
    <w:p w:rsidR="005D6C23" w:rsidRPr="006E59DC" w:rsidRDefault="005D6C23" w:rsidP="005D6C23">
      <w:pPr>
        <w:spacing w:after="120" w:line="240" w:lineRule="auto"/>
        <w:jc w:val="both"/>
        <w:rPr>
          <w:rFonts w:cs="Arial"/>
          <w:bCs/>
          <w:szCs w:val="24"/>
        </w:rPr>
      </w:pPr>
      <w:r w:rsidRPr="006E59DC">
        <w:rPr>
          <w:rFonts w:cs="Arial"/>
          <w:bCs/>
          <w:szCs w:val="24"/>
        </w:rPr>
        <w:t xml:space="preserve">Reactions to </w:t>
      </w:r>
      <w:r w:rsidR="00391FEF">
        <w:rPr>
          <w:rFonts w:cs="Arial"/>
          <w:bCs/>
          <w:szCs w:val="24"/>
        </w:rPr>
        <w:t xml:space="preserve">the </w:t>
      </w:r>
      <w:r w:rsidRPr="006E59DC">
        <w:rPr>
          <w:rFonts w:cs="Arial"/>
          <w:bCs/>
          <w:szCs w:val="24"/>
        </w:rPr>
        <w:t>ELSI of genomics must both respond to existing genomic technologies and their applications, and anticipate future discoveries and developments.</w:t>
      </w:r>
    </w:p>
    <w:p w:rsidR="005D6C23" w:rsidRPr="006E59DC" w:rsidRDefault="005D6C23" w:rsidP="005D6C23">
      <w:pPr>
        <w:spacing w:after="120" w:line="240" w:lineRule="auto"/>
        <w:jc w:val="both"/>
        <w:rPr>
          <w:rFonts w:cs="Arial"/>
          <w:szCs w:val="24"/>
        </w:rPr>
      </w:pPr>
      <w:r w:rsidRPr="006E59DC">
        <w:rPr>
          <w:rFonts w:cs="Arial"/>
          <w:szCs w:val="24"/>
        </w:rPr>
        <w:t xml:space="preserve">An active consideration of </w:t>
      </w:r>
      <w:r w:rsidR="00391FEF">
        <w:rPr>
          <w:rFonts w:cs="Arial"/>
          <w:szCs w:val="24"/>
        </w:rPr>
        <w:t xml:space="preserve">the </w:t>
      </w:r>
      <w:r w:rsidRPr="006E59DC">
        <w:rPr>
          <w:rFonts w:cs="Arial"/>
          <w:szCs w:val="24"/>
        </w:rPr>
        <w:t>ELSI should be integrated in</w:t>
      </w:r>
      <w:r>
        <w:rPr>
          <w:rFonts w:cs="Arial"/>
          <w:szCs w:val="24"/>
        </w:rPr>
        <w:t>to genomic</w:t>
      </w:r>
      <w:r w:rsidRPr="006E59DC">
        <w:rPr>
          <w:rFonts w:cs="Arial"/>
          <w:szCs w:val="24"/>
        </w:rPr>
        <w:t xml:space="preserve"> clinical, research</w:t>
      </w:r>
      <w:r>
        <w:rPr>
          <w:rFonts w:cs="Arial"/>
          <w:szCs w:val="24"/>
        </w:rPr>
        <w:t xml:space="preserve"> and </w:t>
      </w:r>
      <w:r w:rsidRPr="006E59DC">
        <w:rPr>
          <w:rFonts w:cs="Arial"/>
          <w:szCs w:val="24"/>
        </w:rPr>
        <w:t xml:space="preserve">policy activities. </w:t>
      </w:r>
    </w:p>
    <w:p w:rsidR="005D6C23" w:rsidRPr="00312C63" w:rsidRDefault="006028D4" w:rsidP="005D6C23">
      <w:pPr>
        <w:pStyle w:val="DHSNumberTex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Vignette 5</w:t>
      </w:r>
    </w:p>
    <w:p w:rsidR="0054288F" w:rsidRDefault="008F4F64" w:rsidP="00921338">
      <w:pPr>
        <w:pBdr>
          <w:top w:val="single" w:sz="4" w:space="1" w:color="auto"/>
          <w:left w:val="single" w:sz="4" w:space="4" w:color="auto"/>
          <w:bottom w:val="single" w:sz="4" w:space="1" w:color="auto"/>
          <w:right w:val="single" w:sz="4" w:space="4" w:color="auto"/>
        </w:pBdr>
        <w:spacing w:after="120" w:line="240" w:lineRule="auto"/>
        <w:jc w:val="both"/>
        <w:rPr>
          <w:rFonts w:cs="Arial"/>
        </w:rPr>
      </w:pPr>
      <w:r w:rsidRPr="00921338">
        <w:rPr>
          <w:rFonts w:eastAsia="Times" w:cs="Times New Roman"/>
          <w:szCs w:val="24"/>
        </w:rPr>
        <w:t>A man in his early 20s was found to carry a genetic mutation related to Lynch syndrome, a condition associated with a higher risk of colorectal cancer.  After applying for an increased level of life insurance coverage with three insurance companies, he was offered cover but with a cancer exclusion.  In one application, the man informed the insurance company he considered his risk of colorectal cancer was the same as the rest of the population because he intended to undergo yearly colonoscopies</w:t>
      </w:r>
      <w:r w:rsidR="00391FEF">
        <w:rPr>
          <w:rFonts w:eastAsia="Times" w:cs="Times New Roman"/>
          <w:szCs w:val="24"/>
        </w:rPr>
        <w:t xml:space="preserve"> to reduce his risk of developing precancerous polyps</w:t>
      </w:r>
      <w:r w:rsidRPr="00921338">
        <w:rPr>
          <w:rFonts w:eastAsia="Times" w:cs="Times New Roman"/>
          <w:szCs w:val="24"/>
        </w:rPr>
        <w:t xml:space="preserve">.  </w:t>
      </w:r>
      <w:r w:rsidR="00391FEF">
        <w:rPr>
          <w:rFonts w:eastAsia="Times" w:cs="Times New Roman"/>
          <w:szCs w:val="24"/>
        </w:rPr>
        <w:t>After t</w:t>
      </w:r>
      <w:r w:rsidRPr="00921338">
        <w:rPr>
          <w:rFonts w:eastAsia="Times" w:cs="Times New Roman"/>
          <w:szCs w:val="24"/>
        </w:rPr>
        <w:t>he man complain</w:t>
      </w:r>
      <w:r w:rsidR="00391FEF">
        <w:rPr>
          <w:rFonts w:eastAsia="Times" w:cs="Times New Roman"/>
          <w:szCs w:val="24"/>
        </w:rPr>
        <w:t>ed</w:t>
      </w:r>
      <w:r w:rsidRPr="00921338">
        <w:rPr>
          <w:rFonts w:eastAsia="Times" w:cs="Times New Roman"/>
          <w:szCs w:val="24"/>
        </w:rPr>
        <w:t xml:space="preserve"> to the Australian Human Rights Commission, he was offered full insurance cover with a smaller exclusion clause.  This illustrates potential implications of testing for, and finding, a genetic mutation, despite precautionary surveillance measures</w:t>
      </w:r>
      <w:r w:rsidR="005D6C23" w:rsidRPr="006E59DC">
        <w:rPr>
          <w:rFonts w:cs="Arial"/>
        </w:rPr>
        <w:t>.</w:t>
      </w:r>
      <w:r w:rsidR="008B4939">
        <w:rPr>
          <w:rStyle w:val="FootnoteReference"/>
          <w:rFonts w:cs="Arial"/>
        </w:rPr>
        <w:footnoteReference w:id="7"/>
      </w:r>
    </w:p>
    <w:p w:rsidR="005D6C23" w:rsidRDefault="005D6C23" w:rsidP="005D6C23">
      <w:pPr>
        <w:spacing w:after="0" w:line="240" w:lineRule="auto"/>
      </w:pPr>
    </w:p>
    <w:p w:rsidR="0054288F" w:rsidRPr="00921338" w:rsidRDefault="00592C77" w:rsidP="00921338">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heme="majorEastAsia" w:hAnsiTheme="majorHAnsi" w:cstheme="majorBidi"/>
          <w:b/>
          <w:i/>
          <w:color w:val="17365D" w:themeColor="text2" w:themeShade="BF"/>
          <w:spacing w:val="5"/>
          <w:sz w:val="12"/>
          <w:szCs w:val="52"/>
          <w:lang w:val="en-US"/>
        </w:rPr>
      </w:pPr>
      <w:r>
        <w:rPr>
          <w:b/>
          <w:i/>
          <w:color w:val="000000" w:themeColor="text1"/>
        </w:rPr>
        <w:t xml:space="preserve">Q5. </w:t>
      </w:r>
      <w:r w:rsidR="008F4F64" w:rsidRPr="00921338">
        <w:rPr>
          <w:b/>
          <w:i/>
          <w:color w:val="000000" w:themeColor="text1"/>
        </w:rPr>
        <w:t>Are the proposed actions the right areas to achieve the vision or are there other actions of higher priority that should be considered?</w:t>
      </w:r>
      <w:r w:rsidR="008F4F64" w:rsidRPr="00921338">
        <w:rPr>
          <w:b/>
          <w:i/>
          <w:sz w:val="2"/>
        </w:rPr>
        <w:br w:type="page"/>
      </w:r>
    </w:p>
    <w:p w:rsidR="00461EFB" w:rsidRDefault="007D5053" w:rsidP="00F81401">
      <w:pPr>
        <w:pStyle w:val="Heading1"/>
        <w:spacing w:after="240"/>
      </w:pPr>
      <w:bookmarkStart w:id="26" w:name="_Toc458511948"/>
      <w:r>
        <w:lastRenderedPageBreak/>
        <w:t>Adopting</w:t>
      </w:r>
      <w:r w:rsidR="00461EFB" w:rsidRPr="003C3FE2">
        <w:t xml:space="preserve"> the evidence</w:t>
      </w:r>
      <w:bookmarkEnd w:id="26"/>
    </w:p>
    <w:p w:rsidR="00461EFB" w:rsidRPr="00141D45" w:rsidRDefault="000843A2" w:rsidP="00461EFB">
      <w:pPr>
        <w:rPr>
          <w:rFonts w:ascii="Arial" w:eastAsiaTheme="minorEastAsia" w:hAnsi="Arial"/>
          <w:b/>
          <w:color w:val="365F91" w:themeColor="accent1" w:themeShade="BF"/>
          <w:sz w:val="24"/>
          <w:lang w:val="en-US"/>
        </w:rPr>
      </w:pPr>
      <w:r>
        <w:rPr>
          <w:rFonts w:ascii="Arial" w:eastAsiaTheme="minorEastAsia" w:hAnsi="Arial"/>
          <w:b/>
          <w:color w:val="365F91" w:themeColor="accent1" w:themeShade="BF"/>
          <w:sz w:val="24"/>
          <w:lang w:val="en-US"/>
        </w:rPr>
        <w:t>Key issue</w:t>
      </w:r>
    </w:p>
    <w:p w:rsidR="003C3FE2" w:rsidRPr="003C3FE2" w:rsidRDefault="007D5053" w:rsidP="00461EFB">
      <w:pPr>
        <w:pStyle w:val="ListParagraph"/>
        <w:numPr>
          <w:ilvl w:val="0"/>
          <w:numId w:val="2"/>
        </w:numPr>
        <w:jc w:val="both"/>
        <w:rPr>
          <w:rFonts w:eastAsia="Times" w:cs="Times New Roman"/>
          <w:szCs w:val="24"/>
          <w:lang w:val="en-AU"/>
        </w:rPr>
      </w:pPr>
      <w:r>
        <w:rPr>
          <w:rFonts w:eastAsia="Times" w:cs="Times New Roman"/>
          <w:szCs w:val="24"/>
          <w:lang w:val="en-AU"/>
        </w:rPr>
        <w:t xml:space="preserve">New </w:t>
      </w:r>
      <w:r w:rsidR="003C3FE2">
        <w:rPr>
          <w:rFonts w:eastAsia="Times" w:cs="Times New Roman"/>
          <w:szCs w:val="24"/>
          <w:lang w:val="en-AU"/>
        </w:rPr>
        <w:t xml:space="preserve">evidence </w:t>
      </w:r>
      <w:r>
        <w:rPr>
          <w:rFonts w:eastAsia="Times" w:cs="Times New Roman"/>
          <w:szCs w:val="24"/>
          <w:lang w:val="en-AU"/>
        </w:rPr>
        <w:t xml:space="preserve">should </w:t>
      </w:r>
      <w:r w:rsidR="003C3FE2">
        <w:rPr>
          <w:rFonts w:eastAsia="Times" w:cs="Times New Roman"/>
          <w:szCs w:val="24"/>
          <w:lang w:val="en-AU"/>
        </w:rPr>
        <w:t>be</w:t>
      </w:r>
      <w:r>
        <w:rPr>
          <w:rFonts w:eastAsia="Times" w:cs="Times New Roman"/>
          <w:szCs w:val="24"/>
          <w:lang w:val="en-AU"/>
        </w:rPr>
        <w:t xml:space="preserve"> quickly</w:t>
      </w:r>
      <w:r w:rsidR="003C3FE2">
        <w:rPr>
          <w:rFonts w:eastAsia="Times" w:cs="Times New Roman"/>
          <w:szCs w:val="24"/>
          <w:lang w:val="en-AU"/>
        </w:rPr>
        <w:t xml:space="preserve"> utilised to </w:t>
      </w:r>
      <w:r w:rsidR="0069459C">
        <w:rPr>
          <w:rFonts w:eastAsia="Times" w:cs="Times New Roman"/>
          <w:szCs w:val="24"/>
          <w:lang w:val="en-AU"/>
        </w:rPr>
        <w:t xml:space="preserve">protect and </w:t>
      </w:r>
      <w:r w:rsidR="003C3FE2">
        <w:rPr>
          <w:rFonts w:eastAsia="Times" w:cs="Times New Roman"/>
          <w:szCs w:val="24"/>
          <w:lang w:val="en-AU"/>
        </w:rPr>
        <w:t>improve the heal</w:t>
      </w:r>
      <w:r w:rsidR="00793936">
        <w:rPr>
          <w:rFonts w:eastAsia="Times" w:cs="Times New Roman"/>
          <w:szCs w:val="24"/>
          <w:lang w:val="en-AU"/>
        </w:rPr>
        <w:t>t</w:t>
      </w:r>
      <w:r w:rsidR="003C3FE2">
        <w:rPr>
          <w:rFonts w:eastAsia="Times" w:cs="Times New Roman"/>
          <w:szCs w:val="24"/>
          <w:lang w:val="en-AU"/>
        </w:rPr>
        <w:t>h and wellbeing of Victorians.</w:t>
      </w:r>
    </w:p>
    <w:p w:rsidR="00461EFB" w:rsidRPr="00141D45" w:rsidRDefault="00461EFB" w:rsidP="00461EFB">
      <w:pPr>
        <w:rPr>
          <w:rFonts w:ascii="Arial" w:hAnsi="Arial"/>
          <w:sz w:val="24"/>
        </w:rPr>
      </w:pPr>
      <w:r w:rsidRPr="00141D45">
        <w:rPr>
          <w:rFonts w:ascii="Arial" w:hAnsi="Arial"/>
          <w:b/>
          <w:color w:val="365F91" w:themeColor="accent1" w:themeShade="BF"/>
          <w:sz w:val="24"/>
        </w:rPr>
        <w:t xml:space="preserve">Steps already taken </w:t>
      </w:r>
    </w:p>
    <w:p w:rsidR="00461EFB" w:rsidRDefault="007D5053" w:rsidP="00461EFB">
      <w:pPr>
        <w:jc w:val="both"/>
      </w:pPr>
      <w:r>
        <w:t xml:space="preserve">The Victorian Government has committed </w:t>
      </w:r>
      <w:r w:rsidR="00833CDF" w:rsidRPr="003C3FE2">
        <w:t>$25 million</w:t>
      </w:r>
      <w:r w:rsidR="00461EFB" w:rsidRPr="003C3FE2">
        <w:t xml:space="preserve"> </w:t>
      </w:r>
      <w:r w:rsidR="00064B91">
        <w:t>over the next four</w:t>
      </w:r>
      <w:r w:rsidR="00461EFB" w:rsidRPr="003C3FE2">
        <w:t xml:space="preserve"> years to pilot the use of </w:t>
      </w:r>
      <w:r w:rsidR="00064B91">
        <w:t xml:space="preserve">whole </w:t>
      </w:r>
      <w:r w:rsidR="00CA36EB" w:rsidRPr="003C3FE2">
        <w:t xml:space="preserve">exome sequencing </w:t>
      </w:r>
      <w:r w:rsidR="00461EFB" w:rsidRPr="003C3FE2">
        <w:t xml:space="preserve">in clinical practice through the </w:t>
      </w:r>
      <w:r w:rsidR="00CA36EB" w:rsidRPr="003C3FE2">
        <w:t>Melbourne Genomics Health Alliance</w:t>
      </w:r>
      <w:r w:rsidR="00461EFB" w:rsidRPr="003C3FE2">
        <w:t>.</w:t>
      </w:r>
    </w:p>
    <w:p w:rsidR="003C3FE2" w:rsidRDefault="003C3FE2" w:rsidP="00461EFB">
      <w:pPr>
        <w:jc w:val="both"/>
      </w:pPr>
      <w:r>
        <w:t>The Victorian Cancer Agency facilitates cancer research across Victoria, including study of germline and somatic cancer mutations.</w:t>
      </w:r>
    </w:p>
    <w:p w:rsidR="008F4F64" w:rsidRDefault="003C3FE2" w:rsidP="00921338">
      <w:pPr>
        <w:jc w:val="both"/>
        <w:rPr>
          <w:color w:val="000000" w:themeColor="text1"/>
        </w:rPr>
      </w:pPr>
      <w:r>
        <w:t xml:space="preserve">The Victorian Government </w:t>
      </w:r>
      <w:r w:rsidR="00F9075F">
        <w:t xml:space="preserve">has </w:t>
      </w:r>
      <w:r w:rsidR="00064B91" w:rsidRPr="00F9075F">
        <w:t>develop</w:t>
      </w:r>
      <w:r w:rsidR="008F4F64" w:rsidRPr="00921338">
        <w:t>ed</w:t>
      </w:r>
      <w:r>
        <w:t xml:space="preserve"> strategies to support health and medical research, clinical trial access and growth in the biotechnology sector.</w:t>
      </w:r>
      <w:r w:rsidR="00F9075F">
        <w:t xml:space="preserve">  </w:t>
      </w:r>
    </w:p>
    <w:tbl>
      <w:tblPr>
        <w:tblStyle w:val="TableGrid"/>
        <w:tblW w:w="9889" w:type="dxa"/>
        <w:tblLook w:val="04A0" w:firstRow="1" w:lastRow="0" w:firstColumn="1" w:lastColumn="0" w:noHBand="0" w:noVBand="1"/>
      </w:tblPr>
      <w:tblGrid>
        <w:gridCol w:w="5211"/>
        <w:gridCol w:w="4678"/>
      </w:tblGrid>
      <w:tr w:rsidR="00F149AA" w:rsidTr="00921338">
        <w:tc>
          <w:tcPr>
            <w:tcW w:w="5211" w:type="dxa"/>
          </w:tcPr>
          <w:p w:rsidR="00F149AA" w:rsidRDefault="00F149AA" w:rsidP="00461EFB">
            <w:pPr>
              <w:rPr>
                <w:color w:val="000000" w:themeColor="text1"/>
              </w:rPr>
            </w:pPr>
            <w:r w:rsidRPr="00141D45">
              <w:rPr>
                <w:rFonts w:ascii="Arial" w:hAnsi="Arial"/>
                <w:b/>
                <w:color w:val="365F91" w:themeColor="accent1" w:themeShade="BF"/>
                <w:sz w:val="24"/>
              </w:rPr>
              <w:t>Proposed actions</w:t>
            </w:r>
          </w:p>
        </w:tc>
        <w:tc>
          <w:tcPr>
            <w:tcW w:w="4678" w:type="dxa"/>
          </w:tcPr>
          <w:p w:rsidR="00F149AA" w:rsidRDefault="00F149AA" w:rsidP="00461EFB">
            <w:pPr>
              <w:rPr>
                <w:color w:val="000000" w:themeColor="text1"/>
              </w:rPr>
            </w:pPr>
            <w:r w:rsidRPr="00A4685A">
              <w:rPr>
                <w:rFonts w:ascii="Arial" w:hAnsi="Arial"/>
                <w:b/>
                <w:color w:val="365F91" w:themeColor="accent1" w:themeShade="BF"/>
                <w:sz w:val="24"/>
              </w:rPr>
              <w:t>Expected outcomes</w:t>
            </w:r>
          </w:p>
        </w:tc>
      </w:tr>
      <w:tr w:rsidR="00F149AA" w:rsidTr="00921338">
        <w:tc>
          <w:tcPr>
            <w:tcW w:w="5211" w:type="dxa"/>
          </w:tcPr>
          <w:p w:rsidR="008F4F64" w:rsidRPr="00921338" w:rsidRDefault="00F149AA" w:rsidP="00E9676C">
            <w:pPr>
              <w:pStyle w:val="ListParagraph"/>
              <w:numPr>
                <w:ilvl w:val="0"/>
                <w:numId w:val="24"/>
              </w:numPr>
              <w:jc w:val="both"/>
              <w:rPr>
                <w:color w:val="000000" w:themeColor="text1"/>
              </w:rPr>
            </w:pPr>
            <w:r>
              <w:rPr>
                <w:color w:val="000000" w:themeColor="text1"/>
              </w:rPr>
              <w:t xml:space="preserve">Evaluate the </w:t>
            </w:r>
            <w:r w:rsidR="003D6B51">
              <w:rPr>
                <w:color w:val="000000" w:themeColor="text1"/>
              </w:rPr>
              <w:t xml:space="preserve">clinically and ethically appropriate </w:t>
            </w:r>
            <w:r>
              <w:rPr>
                <w:color w:val="000000" w:themeColor="text1"/>
              </w:rPr>
              <w:t>role of genomic sequencing in clinical practice and infectious disease surveillance.</w:t>
            </w:r>
          </w:p>
        </w:tc>
        <w:tc>
          <w:tcPr>
            <w:tcW w:w="4678" w:type="dxa"/>
          </w:tcPr>
          <w:p w:rsidR="00F149AA" w:rsidRDefault="00F149AA" w:rsidP="00E9676C">
            <w:pPr>
              <w:jc w:val="both"/>
              <w:rPr>
                <w:color w:val="000000" w:themeColor="text1"/>
              </w:rPr>
            </w:pPr>
            <w:r>
              <w:rPr>
                <w:color w:val="000000" w:themeColor="text1"/>
              </w:rPr>
              <w:t xml:space="preserve">Provision of evidence to support the clinically </w:t>
            </w:r>
            <w:r w:rsidR="003A6C69">
              <w:rPr>
                <w:color w:val="000000" w:themeColor="text1"/>
              </w:rPr>
              <w:t xml:space="preserve">and ethically </w:t>
            </w:r>
            <w:r>
              <w:rPr>
                <w:color w:val="000000" w:themeColor="text1"/>
              </w:rPr>
              <w:t>appropriate adoption of genomic sequencing and knowledge into healthcare services</w:t>
            </w:r>
            <w:r w:rsidR="00713B3F">
              <w:rPr>
                <w:color w:val="000000" w:themeColor="text1"/>
              </w:rPr>
              <w:t>.</w:t>
            </w:r>
          </w:p>
        </w:tc>
      </w:tr>
      <w:tr w:rsidR="00F149AA" w:rsidTr="00921338">
        <w:tc>
          <w:tcPr>
            <w:tcW w:w="5211" w:type="dxa"/>
          </w:tcPr>
          <w:p w:rsidR="008F4F64" w:rsidRPr="00921338" w:rsidRDefault="00F149AA" w:rsidP="00E9676C">
            <w:pPr>
              <w:pStyle w:val="ListParagraph"/>
              <w:numPr>
                <w:ilvl w:val="0"/>
                <w:numId w:val="24"/>
              </w:numPr>
              <w:jc w:val="both"/>
              <w:rPr>
                <w:color w:val="000000" w:themeColor="text1"/>
              </w:rPr>
            </w:pPr>
            <w:r w:rsidRPr="003C3FE2">
              <w:rPr>
                <w:color w:val="000000" w:themeColor="text1"/>
              </w:rPr>
              <w:t xml:space="preserve">Develop a decision-making framework to </w:t>
            </w:r>
            <w:r>
              <w:rPr>
                <w:color w:val="000000" w:themeColor="text1"/>
              </w:rPr>
              <w:t xml:space="preserve">support </w:t>
            </w:r>
            <w:r w:rsidR="0069459C">
              <w:rPr>
                <w:color w:val="000000" w:themeColor="text1"/>
              </w:rPr>
              <w:t xml:space="preserve">clinically </w:t>
            </w:r>
            <w:r w:rsidR="003A6C69">
              <w:rPr>
                <w:color w:val="000000" w:themeColor="text1"/>
              </w:rPr>
              <w:t xml:space="preserve">and ethically </w:t>
            </w:r>
            <w:r>
              <w:rPr>
                <w:color w:val="000000" w:themeColor="text1"/>
              </w:rPr>
              <w:t>appropriate</w:t>
            </w:r>
            <w:r w:rsidRPr="003C3FE2">
              <w:rPr>
                <w:color w:val="000000" w:themeColor="text1"/>
              </w:rPr>
              <w:t xml:space="preserve"> integration</w:t>
            </w:r>
            <w:r>
              <w:rPr>
                <w:color w:val="000000" w:themeColor="text1"/>
              </w:rPr>
              <w:t xml:space="preserve"> of genomic knowledge</w:t>
            </w:r>
            <w:r w:rsidRPr="003C3FE2">
              <w:rPr>
                <w:color w:val="000000" w:themeColor="text1"/>
              </w:rPr>
              <w:t xml:space="preserve"> into </w:t>
            </w:r>
            <w:r>
              <w:rPr>
                <w:color w:val="000000" w:themeColor="text1"/>
              </w:rPr>
              <w:t>Victorian healthcare.</w:t>
            </w:r>
          </w:p>
        </w:tc>
        <w:tc>
          <w:tcPr>
            <w:tcW w:w="4678" w:type="dxa"/>
          </w:tcPr>
          <w:p w:rsidR="00F149AA" w:rsidRDefault="00F149AA" w:rsidP="00E9676C">
            <w:pPr>
              <w:jc w:val="both"/>
              <w:rPr>
                <w:color w:val="000000" w:themeColor="text1"/>
              </w:rPr>
            </w:pPr>
            <w:r>
              <w:rPr>
                <w:color w:val="000000" w:themeColor="text1"/>
              </w:rPr>
              <w:t xml:space="preserve">Safe and sustainable incorporation of genomic </w:t>
            </w:r>
            <w:r w:rsidR="003A6C69">
              <w:rPr>
                <w:color w:val="000000" w:themeColor="text1"/>
              </w:rPr>
              <w:t xml:space="preserve">knowledge </w:t>
            </w:r>
            <w:r>
              <w:rPr>
                <w:color w:val="000000" w:themeColor="text1"/>
              </w:rPr>
              <w:t>into healthcare practice</w:t>
            </w:r>
            <w:r w:rsidR="00713B3F">
              <w:rPr>
                <w:color w:val="000000" w:themeColor="text1"/>
              </w:rPr>
              <w:t>.</w:t>
            </w:r>
          </w:p>
        </w:tc>
      </w:tr>
    </w:tbl>
    <w:p w:rsidR="0054288F" w:rsidRDefault="0054288F" w:rsidP="00921338">
      <w:pPr>
        <w:spacing w:after="0" w:line="240" w:lineRule="auto"/>
        <w:rPr>
          <w:color w:val="000000" w:themeColor="text1"/>
        </w:rPr>
      </w:pPr>
    </w:p>
    <w:p w:rsidR="00461EFB" w:rsidRPr="00141D45" w:rsidRDefault="00461EFB" w:rsidP="00461EFB">
      <w:pPr>
        <w:rPr>
          <w:rFonts w:ascii="Arial" w:hAnsi="Arial"/>
          <w:b/>
          <w:color w:val="365F91" w:themeColor="accent1" w:themeShade="BF"/>
          <w:sz w:val="24"/>
        </w:rPr>
      </w:pPr>
      <w:r w:rsidRPr="00141D45">
        <w:rPr>
          <w:rFonts w:ascii="Arial" w:hAnsi="Arial"/>
          <w:b/>
          <w:color w:val="365F91" w:themeColor="accent1" w:themeShade="BF"/>
          <w:sz w:val="24"/>
        </w:rPr>
        <w:t>Issues for the longer term</w:t>
      </w:r>
    </w:p>
    <w:p w:rsidR="00693A30" w:rsidRPr="009376BD" w:rsidRDefault="00461EFB" w:rsidP="009376BD">
      <w:pPr>
        <w:spacing w:after="120" w:line="240" w:lineRule="auto"/>
        <w:jc w:val="both"/>
        <w:rPr>
          <w:rFonts w:cs="Arial"/>
          <w:bCs/>
          <w:szCs w:val="24"/>
        </w:rPr>
      </w:pPr>
      <w:r w:rsidRPr="009376BD">
        <w:rPr>
          <w:rFonts w:cs="Arial"/>
          <w:bCs/>
          <w:szCs w:val="24"/>
        </w:rPr>
        <w:t xml:space="preserve">International and national collaboration are essential if the full potential of </w:t>
      </w:r>
      <w:r w:rsidR="003F13CD" w:rsidRPr="009376BD">
        <w:rPr>
          <w:rFonts w:cs="Arial"/>
          <w:bCs/>
          <w:szCs w:val="24"/>
        </w:rPr>
        <w:t>genomic medicine is to be realis</w:t>
      </w:r>
      <w:r w:rsidRPr="009376BD">
        <w:rPr>
          <w:rFonts w:cs="Arial"/>
          <w:bCs/>
          <w:szCs w:val="24"/>
        </w:rPr>
        <w:t>ed.</w:t>
      </w:r>
      <w:r w:rsidR="00F9075F" w:rsidRPr="009376BD">
        <w:rPr>
          <w:rFonts w:cs="Arial"/>
          <w:bCs/>
          <w:szCs w:val="24"/>
        </w:rPr>
        <w:t xml:space="preserve"> </w:t>
      </w:r>
      <w:r w:rsidRPr="009376BD">
        <w:rPr>
          <w:rFonts w:cs="Arial"/>
          <w:bCs/>
          <w:szCs w:val="24"/>
        </w:rPr>
        <w:t xml:space="preserve"> This will require robust technology platforms and secure information sharing</w:t>
      </w:r>
      <w:r w:rsidR="00942EF5" w:rsidRPr="009376BD">
        <w:rPr>
          <w:rFonts w:cs="Arial"/>
          <w:bCs/>
          <w:szCs w:val="24"/>
        </w:rPr>
        <w:t>.</w:t>
      </w:r>
    </w:p>
    <w:p w:rsidR="003F2322" w:rsidRDefault="00942EF5" w:rsidP="009376BD">
      <w:pPr>
        <w:spacing w:after="120" w:line="240" w:lineRule="auto"/>
        <w:jc w:val="both"/>
        <w:rPr>
          <w:rFonts w:cs="Arial"/>
          <w:bCs/>
          <w:szCs w:val="24"/>
        </w:rPr>
      </w:pPr>
      <w:r w:rsidRPr="009376BD">
        <w:rPr>
          <w:rFonts w:cs="Arial"/>
          <w:bCs/>
          <w:szCs w:val="24"/>
        </w:rPr>
        <w:t xml:space="preserve">Victoria’s work will need to align with </w:t>
      </w:r>
      <w:r w:rsidR="00EF505D" w:rsidRPr="009376BD">
        <w:rPr>
          <w:rFonts w:cs="Arial"/>
          <w:bCs/>
          <w:szCs w:val="24"/>
        </w:rPr>
        <w:t>national policy work currently underway</w:t>
      </w:r>
      <w:r w:rsidR="00F9075F" w:rsidRPr="009376BD">
        <w:rPr>
          <w:rFonts w:cs="Arial"/>
          <w:bCs/>
          <w:szCs w:val="24"/>
        </w:rPr>
        <w:t>:</w:t>
      </w:r>
      <w:r w:rsidR="00EF505D" w:rsidRPr="009376BD">
        <w:rPr>
          <w:rFonts w:cs="Arial"/>
          <w:bCs/>
          <w:szCs w:val="24"/>
        </w:rPr>
        <w:t xml:space="preserve"> the Commonwealth </w:t>
      </w:r>
      <w:r w:rsidR="008D1CF4" w:rsidRPr="009376BD">
        <w:rPr>
          <w:rFonts w:cs="Arial"/>
          <w:bCs/>
          <w:szCs w:val="24"/>
        </w:rPr>
        <w:t>Government</w:t>
      </w:r>
      <w:r w:rsidR="00EF505D" w:rsidRPr="009376BD">
        <w:rPr>
          <w:rFonts w:cs="Arial"/>
          <w:bCs/>
          <w:szCs w:val="24"/>
        </w:rPr>
        <w:t xml:space="preserve"> is leading development of a national genomics policy framework</w:t>
      </w:r>
      <w:r w:rsidR="00E064AC" w:rsidRPr="009376BD">
        <w:rPr>
          <w:rFonts w:cs="Arial"/>
          <w:bCs/>
          <w:szCs w:val="24"/>
        </w:rPr>
        <w:t>.</w:t>
      </w:r>
    </w:p>
    <w:p w:rsidR="00693A30" w:rsidRPr="009376BD" w:rsidRDefault="00693A30" w:rsidP="009376BD">
      <w:pPr>
        <w:spacing w:after="0" w:line="240" w:lineRule="auto"/>
        <w:jc w:val="both"/>
        <w:rPr>
          <w:rFonts w:cs="Arial"/>
          <w:bCs/>
          <w:szCs w:val="24"/>
        </w:rPr>
      </w:pPr>
    </w:p>
    <w:p w:rsidR="00793936" w:rsidRPr="00312C63" w:rsidRDefault="00E24B19" w:rsidP="00312C63">
      <w:pPr>
        <w:pStyle w:val="DHSNumberTex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 xml:space="preserve">Vignette </w:t>
      </w:r>
      <w:r w:rsidR="006028D4">
        <w:rPr>
          <w:b/>
          <w:szCs w:val="24"/>
        </w:rPr>
        <w:t>6</w:t>
      </w:r>
    </w:p>
    <w:p w:rsidR="006E41A7" w:rsidRDefault="008F4F64" w:rsidP="009376BD">
      <w:pPr>
        <w:pBdr>
          <w:top w:val="single" w:sz="4" w:space="1" w:color="auto"/>
          <w:left w:val="single" w:sz="4" w:space="4" w:color="auto"/>
          <w:bottom w:val="single" w:sz="4" w:space="1" w:color="auto"/>
          <w:right w:val="single" w:sz="4" w:space="4" w:color="auto"/>
        </w:pBdr>
        <w:spacing w:after="120" w:line="240" w:lineRule="auto"/>
        <w:jc w:val="both"/>
        <w:rPr>
          <w:sz w:val="18"/>
        </w:rPr>
      </w:pPr>
      <w:r w:rsidRPr="00921338">
        <w:t xml:space="preserve">A five month old infant presented with low muscle tone and poor feeding. </w:t>
      </w:r>
      <w:r w:rsidR="00F9075F">
        <w:t xml:space="preserve"> </w:t>
      </w:r>
      <w:r w:rsidRPr="00921338">
        <w:t xml:space="preserve">Multiple blood </w:t>
      </w:r>
      <w:r w:rsidR="00F9075F">
        <w:t>and</w:t>
      </w:r>
      <w:r w:rsidRPr="00921338">
        <w:t xml:space="preserve"> urine tests, lumbar puncture and an MRI brain scan indicated Leigh disease</w:t>
      </w:r>
      <w:r w:rsidR="00F9075F">
        <w:t>,</w:t>
      </w:r>
      <w:r w:rsidRPr="00921338">
        <w:t xml:space="preserve"> </w:t>
      </w:r>
      <w:r w:rsidR="00F9075F" w:rsidRPr="00B6173D">
        <w:t>a mitochondrial condition caused by mutations in many different genes</w:t>
      </w:r>
      <w:r w:rsidR="00F9075F">
        <w:t>,</w:t>
      </w:r>
      <w:r w:rsidR="00F9075F" w:rsidRPr="00B6173D">
        <w:t xml:space="preserve"> </w:t>
      </w:r>
      <w:r w:rsidRPr="00921338">
        <w:t xml:space="preserve">was </w:t>
      </w:r>
      <w:r w:rsidR="00F9075F">
        <w:t>a</w:t>
      </w:r>
      <w:r w:rsidRPr="00921338">
        <w:t xml:space="preserve"> likely diagnosis</w:t>
      </w:r>
      <w:r w:rsidR="00F9075F">
        <w:t xml:space="preserve">, which </w:t>
      </w:r>
      <w:r w:rsidRPr="00921338">
        <w:t>causes a progressive decline in neurological function</w:t>
      </w:r>
      <w:r w:rsidR="00F9075F">
        <w:t xml:space="preserve">.  There is </w:t>
      </w:r>
      <w:r w:rsidRPr="00921338">
        <w:t xml:space="preserve">no cure or treatment. </w:t>
      </w:r>
      <w:r w:rsidR="00F9075F">
        <w:t xml:space="preserve"> </w:t>
      </w:r>
      <w:r w:rsidRPr="00921338">
        <w:t xml:space="preserve">The family </w:t>
      </w:r>
      <w:r w:rsidR="007E4485">
        <w:t>was</w:t>
      </w:r>
      <w:r w:rsidRPr="00921338">
        <w:t xml:space="preserve"> devastated to </w:t>
      </w:r>
      <w:r w:rsidR="00F9075F">
        <w:t>learn</w:t>
      </w:r>
      <w:r w:rsidRPr="00921338">
        <w:t xml:space="preserve"> their baby’s condition would worsen with time and was unlikely to survive more than a few years. </w:t>
      </w:r>
      <w:r w:rsidR="007E4485">
        <w:t xml:space="preserve"> However, whole exome sequencing </w:t>
      </w:r>
      <w:r w:rsidR="00F9075F">
        <w:t xml:space="preserve">enabled a diagnosis of </w:t>
      </w:r>
      <w:r w:rsidRPr="00921338">
        <w:t>Thiamine Me</w:t>
      </w:r>
      <w:r w:rsidR="007E4485">
        <w:t>tabolism Dysfunction Syndrome 2</w:t>
      </w:r>
      <w:r w:rsidR="00F9075F">
        <w:t>,</w:t>
      </w:r>
      <w:r w:rsidRPr="00921338">
        <w:t xml:space="preserve"> </w:t>
      </w:r>
      <w:r w:rsidR="007E4485">
        <w:t>rather than Leigh disease. While th</w:t>
      </w:r>
      <w:r w:rsidR="00F9075F">
        <w:t>is</w:t>
      </w:r>
      <w:r w:rsidR="007E4485">
        <w:t xml:space="preserve"> condition is </w:t>
      </w:r>
      <w:r w:rsidRPr="00921338">
        <w:t>progressive, treatment with thiamine and biotin may slow or prevent disease progression.  The baby’s tre</w:t>
      </w:r>
      <w:r w:rsidR="007E4485">
        <w:t>atment was immediately altered and his</w:t>
      </w:r>
      <w:r w:rsidRPr="00921338">
        <w:t xml:space="preserve"> parents were given the good news that his outlook is now quite positive. </w:t>
      </w:r>
      <w:r w:rsidR="007E4485">
        <w:t xml:space="preserve"> </w:t>
      </w:r>
      <w:r w:rsidRPr="00921338">
        <w:t>The baby’s older siblings were also tested as this condition can cause milder neurological deterioration in previously normal children.  One sibling</w:t>
      </w:r>
      <w:r w:rsidR="00F9075F">
        <w:t>,</w:t>
      </w:r>
      <w:r w:rsidRPr="00921338">
        <w:t xml:space="preserve"> found to have the same condition</w:t>
      </w:r>
      <w:r w:rsidR="00F9075F">
        <w:t xml:space="preserve">, </w:t>
      </w:r>
      <w:r w:rsidRPr="00921338">
        <w:t xml:space="preserve">immediately </w:t>
      </w:r>
      <w:r w:rsidR="00F9075F">
        <w:t xml:space="preserve">commenced </w:t>
      </w:r>
      <w:r w:rsidRPr="00921338">
        <w:t>thiamine and biotin to prevent any neurological deterioration.</w:t>
      </w:r>
    </w:p>
    <w:p w:rsidR="000843A2" w:rsidRDefault="000843A2" w:rsidP="00D843B4">
      <w:pPr>
        <w:spacing w:after="0" w:line="240" w:lineRule="auto"/>
      </w:pPr>
    </w:p>
    <w:p w:rsidR="0054288F" w:rsidRPr="00921338" w:rsidRDefault="00592C77" w:rsidP="00921338">
      <w:pPr>
        <w:pBdr>
          <w:top w:val="single" w:sz="4" w:space="1" w:color="auto"/>
          <w:left w:val="single" w:sz="4" w:space="4" w:color="auto"/>
          <w:bottom w:val="single" w:sz="4" w:space="1" w:color="auto"/>
          <w:right w:val="single" w:sz="4" w:space="4" w:color="auto"/>
        </w:pBdr>
        <w:jc w:val="center"/>
        <w:rPr>
          <w:rFonts w:asciiTheme="majorHAnsi" w:eastAsiaTheme="majorEastAsia" w:hAnsiTheme="majorHAnsi" w:cstheme="majorBidi"/>
          <w:b/>
          <w:i/>
          <w:color w:val="17365D" w:themeColor="text2" w:themeShade="BF"/>
          <w:spacing w:val="5"/>
          <w:sz w:val="52"/>
          <w:szCs w:val="52"/>
          <w:lang w:val="en-US"/>
        </w:rPr>
      </w:pPr>
      <w:r>
        <w:rPr>
          <w:b/>
          <w:i/>
          <w:color w:val="000000" w:themeColor="text1"/>
        </w:rPr>
        <w:t xml:space="preserve">Q6. </w:t>
      </w:r>
      <w:r w:rsidR="008F4F64" w:rsidRPr="00921338">
        <w:rPr>
          <w:b/>
          <w:i/>
          <w:color w:val="000000" w:themeColor="text1"/>
        </w:rPr>
        <w:t>Are the proposed actions the right areas to achieve the vision or are there other actions of higher priority that should be considered?</w:t>
      </w:r>
      <w:bookmarkStart w:id="27" w:name="_Toc444585153"/>
      <w:r w:rsidR="008F4F64" w:rsidRPr="00921338">
        <w:rPr>
          <w:b/>
          <w:i/>
        </w:rPr>
        <w:br w:type="page"/>
      </w:r>
    </w:p>
    <w:p w:rsidR="0024597A" w:rsidRDefault="00713B3F" w:rsidP="000B4229">
      <w:pPr>
        <w:pStyle w:val="Heading1"/>
        <w:spacing w:after="240"/>
      </w:pPr>
      <w:bookmarkStart w:id="28" w:name="_Toc458511949"/>
      <w:bookmarkEnd w:id="27"/>
      <w:r>
        <w:lastRenderedPageBreak/>
        <w:t>Building</w:t>
      </w:r>
      <w:r w:rsidR="0024597A" w:rsidRPr="000B4229">
        <w:t xml:space="preserve"> service system</w:t>
      </w:r>
      <w:r>
        <w:t xml:space="preserve"> capacity</w:t>
      </w:r>
      <w:bookmarkEnd w:id="28"/>
    </w:p>
    <w:p w:rsidR="0024597A" w:rsidRPr="00141D45" w:rsidRDefault="0024597A" w:rsidP="0024597A">
      <w:pPr>
        <w:rPr>
          <w:rFonts w:ascii="Arial" w:eastAsiaTheme="minorEastAsia" w:hAnsi="Arial"/>
          <w:b/>
          <w:color w:val="365F91" w:themeColor="accent1" w:themeShade="BF"/>
          <w:sz w:val="24"/>
          <w:lang w:val="en-US"/>
        </w:rPr>
      </w:pPr>
      <w:r w:rsidRPr="00141D45">
        <w:rPr>
          <w:rFonts w:ascii="Arial" w:eastAsiaTheme="minorEastAsia" w:hAnsi="Arial"/>
          <w:b/>
          <w:color w:val="365F91" w:themeColor="accent1" w:themeShade="BF"/>
          <w:sz w:val="24"/>
          <w:lang w:val="en-US"/>
        </w:rPr>
        <w:t>Key issues</w:t>
      </w:r>
    </w:p>
    <w:p w:rsidR="00BF5134" w:rsidRPr="00BF5134" w:rsidRDefault="000B4229" w:rsidP="002640B0">
      <w:pPr>
        <w:pStyle w:val="ListParagraph"/>
        <w:numPr>
          <w:ilvl w:val="0"/>
          <w:numId w:val="2"/>
        </w:numPr>
        <w:jc w:val="both"/>
        <w:rPr>
          <w:rFonts w:eastAsia="Times" w:cs="Times New Roman"/>
          <w:szCs w:val="24"/>
          <w:lang w:val="en-AU"/>
        </w:rPr>
      </w:pPr>
      <w:r>
        <w:rPr>
          <w:rFonts w:eastAsia="Times" w:cs="Times New Roman"/>
          <w:szCs w:val="24"/>
        </w:rPr>
        <w:t xml:space="preserve">Access to genetic and genomic </w:t>
      </w:r>
      <w:r w:rsidR="00BF5134">
        <w:rPr>
          <w:rFonts w:eastAsia="Times" w:cs="Times New Roman"/>
          <w:szCs w:val="24"/>
        </w:rPr>
        <w:t>services varies across Victoria.</w:t>
      </w:r>
    </w:p>
    <w:p w:rsidR="002640B0" w:rsidRPr="000B4229" w:rsidRDefault="00713B3F" w:rsidP="002640B0">
      <w:pPr>
        <w:pStyle w:val="ListParagraph"/>
        <w:numPr>
          <w:ilvl w:val="0"/>
          <w:numId w:val="2"/>
        </w:numPr>
        <w:jc w:val="both"/>
        <w:rPr>
          <w:rFonts w:eastAsia="Times" w:cs="Times New Roman"/>
          <w:szCs w:val="24"/>
          <w:lang w:val="en-AU"/>
        </w:rPr>
      </w:pPr>
      <w:r>
        <w:rPr>
          <w:rFonts w:eastAsia="Times" w:cs="Times New Roman"/>
          <w:szCs w:val="24"/>
          <w:lang w:val="en-AU"/>
        </w:rPr>
        <w:t>A</w:t>
      </w:r>
      <w:r w:rsidR="000B4229">
        <w:rPr>
          <w:rFonts w:eastAsia="Times" w:cs="Times New Roman"/>
          <w:szCs w:val="24"/>
          <w:lang w:val="en-AU"/>
        </w:rPr>
        <w:t xml:space="preserve"> flexible</w:t>
      </w:r>
      <w:r>
        <w:rPr>
          <w:rFonts w:eastAsia="Times" w:cs="Times New Roman"/>
          <w:szCs w:val="24"/>
          <w:lang w:val="en-AU"/>
        </w:rPr>
        <w:t>, multidisciplinary</w:t>
      </w:r>
      <w:r w:rsidR="000B4229">
        <w:rPr>
          <w:rFonts w:eastAsia="Times" w:cs="Times New Roman"/>
          <w:szCs w:val="24"/>
          <w:lang w:val="en-AU"/>
        </w:rPr>
        <w:t xml:space="preserve"> and a</w:t>
      </w:r>
      <w:r w:rsidR="00B51A5A">
        <w:rPr>
          <w:rFonts w:eastAsia="Times" w:cs="Times New Roman"/>
          <w:szCs w:val="24"/>
          <w:lang w:val="en-AU"/>
        </w:rPr>
        <w:t xml:space="preserve">daptive service system </w:t>
      </w:r>
      <w:r>
        <w:rPr>
          <w:rFonts w:eastAsia="Times" w:cs="Times New Roman"/>
          <w:szCs w:val="24"/>
          <w:lang w:val="en-AU"/>
        </w:rPr>
        <w:t xml:space="preserve">is needed </w:t>
      </w:r>
      <w:r w:rsidR="00B51A5A">
        <w:rPr>
          <w:rFonts w:eastAsia="Times" w:cs="Times New Roman"/>
          <w:szCs w:val="24"/>
          <w:lang w:val="en-AU"/>
        </w:rPr>
        <w:t>in the f</w:t>
      </w:r>
      <w:r w:rsidR="000B4229">
        <w:rPr>
          <w:rFonts w:eastAsia="Times" w:cs="Times New Roman"/>
          <w:szCs w:val="24"/>
          <w:lang w:val="en-AU"/>
        </w:rPr>
        <w:t xml:space="preserve">ace of rapidly changing </w:t>
      </w:r>
      <w:r>
        <w:rPr>
          <w:rFonts w:eastAsia="Times" w:cs="Times New Roman"/>
          <w:szCs w:val="24"/>
          <w:lang w:val="en-AU"/>
        </w:rPr>
        <w:t xml:space="preserve">genomic </w:t>
      </w:r>
      <w:r w:rsidR="000B4229">
        <w:rPr>
          <w:rFonts w:eastAsia="Times" w:cs="Times New Roman"/>
          <w:szCs w:val="24"/>
          <w:lang w:val="en-AU"/>
        </w:rPr>
        <w:t>knowledge</w:t>
      </w:r>
      <w:r w:rsidR="00BF5134">
        <w:rPr>
          <w:rFonts w:eastAsia="Times" w:cs="Times New Roman"/>
          <w:szCs w:val="24"/>
          <w:lang w:val="en-AU"/>
        </w:rPr>
        <w:t>.</w:t>
      </w:r>
    </w:p>
    <w:p w:rsidR="0024597A" w:rsidRPr="00141D45" w:rsidRDefault="0024597A" w:rsidP="0024597A">
      <w:pPr>
        <w:rPr>
          <w:rFonts w:ascii="Arial" w:hAnsi="Arial"/>
          <w:sz w:val="24"/>
        </w:rPr>
      </w:pPr>
      <w:r w:rsidRPr="00141D45">
        <w:rPr>
          <w:rFonts w:ascii="Arial" w:hAnsi="Arial"/>
          <w:b/>
          <w:color w:val="365F91" w:themeColor="accent1" w:themeShade="BF"/>
          <w:sz w:val="24"/>
        </w:rPr>
        <w:t xml:space="preserve">Steps already taken </w:t>
      </w:r>
    </w:p>
    <w:p w:rsidR="000B4229" w:rsidRDefault="002640B0" w:rsidP="000B4229">
      <w:pPr>
        <w:spacing w:after="120" w:line="240" w:lineRule="auto"/>
        <w:jc w:val="both"/>
        <w:rPr>
          <w:rFonts w:cs="Arial"/>
          <w:szCs w:val="24"/>
        </w:rPr>
      </w:pPr>
      <w:r w:rsidRPr="00C76016">
        <w:rPr>
          <w:rFonts w:cs="Arial"/>
          <w:i/>
          <w:szCs w:val="24"/>
        </w:rPr>
        <w:t>Victoria’s Cancer Action Plan 2008-12</w:t>
      </w:r>
      <w:r w:rsidRPr="00C76016">
        <w:rPr>
          <w:rFonts w:cs="Arial"/>
          <w:szCs w:val="24"/>
        </w:rPr>
        <w:t xml:space="preserve"> </w:t>
      </w:r>
      <w:r w:rsidR="000B4229">
        <w:rPr>
          <w:rFonts w:cs="Arial"/>
          <w:szCs w:val="24"/>
        </w:rPr>
        <w:t xml:space="preserve">(VCAP) </w:t>
      </w:r>
      <w:r w:rsidR="004A2D7F">
        <w:rPr>
          <w:rFonts w:cs="Arial"/>
          <w:szCs w:val="24"/>
        </w:rPr>
        <w:t xml:space="preserve">increased service system capacity and </w:t>
      </w:r>
      <w:r w:rsidR="000B4229">
        <w:rPr>
          <w:rFonts w:cs="Arial"/>
          <w:szCs w:val="24"/>
        </w:rPr>
        <w:t>facilitated the establishment of permanent, on-site integrated cancer genetic services</w:t>
      </w:r>
      <w:r w:rsidRPr="00C76016">
        <w:rPr>
          <w:rFonts w:cs="Arial"/>
          <w:szCs w:val="24"/>
        </w:rPr>
        <w:t>.</w:t>
      </w:r>
      <w:r w:rsidR="003E7EAB">
        <w:rPr>
          <w:rFonts w:cs="Arial"/>
          <w:szCs w:val="24"/>
        </w:rPr>
        <w:t xml:space="preserve"> </w:t>
      </w:r>
      <w:r w:rsidR="000B4229">
        <w:rPr>
          <w:rFonts w:cs="Arial"/>
          <w:szCs w:val="24"/>
        </w:rPr>
        <w:t xml:space="preserve">The VCAP initiative was leveraged to </w:t>
      </w:r>
      <w:r w:rsidR="005F7972">
        <w:rPr>
          <w:rFonts w:cs="Arial"/>
          <w:szCs w:val="24"/>
        </w:rPr>
        <w:t>further integrate</w:t>
      </w:r>
      <w:r w:rsidR="000B4229">
        <w:rPr>
          <w:rFonts w:cs="Arial"/>
          <w:szCs w:val="24"/>
        </w:rPr>
        <w:t xml:space="preserve"> </w:t>
      </w:r>
      <w:r w:rsidR="004A2D7F">
        <w:rPr>
          <w:rFonts w:cs="Arial"/>
          <w:szCs w:val="24"/>
        </w:rPr>
        <w:t xml:space="preserve">non-cancer </w:t>
      </w:r>
      <w:r w:rsidR="000B4229">
        <w:rPr>
          <w:rFonts w:cs="Arial"/>
          <w:szCs w:val="24"/>
        </w:rPr>
        <w:t>genetic services.</w:t>
      </w:r>
    </w:p>
    <w:p w:rsidR="003E7EAB" w:rsidRPr="00C76016" w:rsidRDefault="003E7EAB" w:rsidP="000B4229">
      <w:pPr>
        <w:spacing w:after="120" w:line="240" w:lineRule="auto"/>
        <w:jc w:val="both"/>
        <w:rPr>
          <w:rFonts w:cs="Arial"/>
          <w:szCs w:val="24"/>
        </w:rPr>
      </w:pPr>
    </w:p>
    <w:p w:rsidR="0024597A" w:rsidRDefault="004A2D7F" w:rsidP="00C76016">
      <w:pPr>
        <w:spacing w:after="120" w:line="240" w:lineRule="auto"/>
        <w:jc w:val="both"/>
        <w:rPr>
          <w:rFonts w:cs="Arial"/>
          <w:szCs w:val="24"/>
        </w:rPr>
      </w:pPr>
      <w:r>
        <w:rPr>
          <w:rFonts w:cs="Arial"/>
          <w:szCs w:val="24"/>
        </w:rPr>
        <w:t>P</w:t>
      </w:r>
      <w:r w:rsidR="002640B0" w:rsidRPr="00C76016">
        <w:rPr>
          <w:rFonts w:cs="Arial"/>
          <w:szCs w:val="24"/>
        </w:rPr>
        <w:t xml:space="preserve">aediatric and adult </w:t>
      </w:r>
      <w:r w:rsidR="0024597A" w:rsidRPr="00C76016">
        <w:rPr>
          <w:rFonts w:cs="Arial"/>
          <w:szCs w:val="24"/>
        </w:rPr>
        <w:t xml:space="preserve">services </w:t>
      </w:r>
      <w:r>
        <w:rPr>
          <w:rFonts w:cs="Arial"/>
          <w:szCs w:val="24"/>
        </w:rPr>
        <w:t>for i</w:t>
      </w:r>
      <w:r w:rsidRPr="00C76016">
        <w:rPr>
          <w:rFonts w:cs="Arial"/>
          <w:szCs w:val="24"/>
        </w:rPr>
        <w:t xml:space="preserve">nborn errors of metabolism </w:t>
      </w:r>
      <w:r w:rsidR="002640B0" w:rsidRPr="00C76016">
        <w:rPr>
          <w:rFonts w:cs="Arial"/>
          <w:szCs w:val="24"/>
        </w:rPr>
        <w:t xml:space="preserve">are now </w:t>
      </w:r>
      <w:r w:rsidR="0024597A" w:rsidRPr="00C76016">
        <w:rPr>
          <w:rFonts w:cs="Arial"/>
          <w:szCs w:val="24"/>
        </w:rPr>
        <w:t xml:space="preserve">delivered by </w:t>
      </w:r>
      <w:r w:rsidR="000B4229">
        <w:rPr>
          <w:rFonts w:cs="Arial"/>
          <w:szCs w:val="24"/>
        </w:rPr>
        <w:t>acute health services</w:t>
      </w:r>
      <w:r w:rsidR="002640B0" w:rsidRPr="00C76016">
        <w:rPr>
          <w:rFonts w:cs="Arial"/>
          <w:szCs w:val="24"/>
        </w:rPr>
        <w:t>.</w:t>
      </w:r>
    </w:p>
    <w:p w:rsidR="008F4F64" w:rsidRDefault="000B4229" w:rsidP="00921338">
      <w:pPr>
        <w:spacing w:after="120" w:line="240" w:lineRule="auto"/>
        <w:jc w:val="both"/>
        <w:rPr>
          <w:color w:val="000000" w:themeColor="text1"/>
        </w:rPr>
      </w:pPr>
      <w:r>
        <w:rPr>
          <w:rFonts w:cs="Arial"/>
          <w:szCs w:val="24"/>
        </w:rPr>
        <w:t>A statewide service stream design and infrastructure planning framework has been developed for the Victorian healthcare system</w:t>
      </w:r>
      <w:r w:rsidR="00713B3F">
        <w:rPr>
          <w:rFonts w:cs="Arial"/>
          <w:szCs w:val="24"/>
        </w:rPr>
        <w:t xml:space="preserve"> in </w:t>
      </w:r>
      <w:r w:rsidR="004C03CC">
        <w:rPr>
          <w:rFonts w:cs="Arial"/>
          <w:szCs w:val="24"/>
        </w:rPr>
        <w:t>response to the Travis and King</w:t>
      </w:r>
      <w:r w:rsidR="00713B3F">
        <w:rPr>
          <w:rFonts w:cs="Arial"/>
          <w:szCs w:val="24"/>
        </w:rPr>
        <w:t>s Fund reports.</w:t>
      </w:r>
      <w:r w:rsidR="002C01E3">
        <w:rPr>
          <w:rFonts w:cs="Arial"/>
          <w:szCs w:val="24"/>
        </w:rPr>
        <w:t xml:space="preserve">  Work is being overseen by a Ministerial Advisory Committee.</w:t>
      </w:r>
    </w:p>
    <w:tbl>
      <w:tblPr>
        <w:tblStyle w:val="TableGrid"/>
        <w:tblW w:w="0" w:type="auto"/>
        <w:tblLook w:val="04A0" w:firstRow="1" w:lastRow="0" w:firstColumn="1" w:lastColumn="0" w:noHBand="0" w:noVBand="1"/>
      </w:tblPr>
      <w:tblGrid>
        <w:gridCol w:w="5637"/>
        <w:gridCol w:w="4217"/>
      </w:tblGrid>
      <w:tr w:rsidR="00713B3F" w:rsidTr="00990DF4">
        <w:tc>
          <w:tcPr>
            <w:tcW w:w="5637" w:type="dxa"/>
          </w:tcPr>
          <w:p w:rsidR="00713B3F" w:rsidRDefault="00713B3F" w:rsidP="00990DF4">
            <w:pPr>
              <w:rPr>
                <w:color w:val="000000" w:themeColor="text1"/>
              </w:rPr>
            </w:pPr>
            <w:r w:rsidRPr="00141D45">
              <w:rPr>
                <w:rFonts w:ascii="Arial" w:hAnsi="Arial"/>
                <w:b/>
                <w:color w:val="365F91" w:themeColor="accent1" w:themeShade="BF"/>
                <w:sz w:val="24"/>
              </w:rPr>
              <w:t>Proposed actions</w:t>
            </w:r>
          </w:p>
        </w:tc>
        <w:tc>
          <w:tcPr>
            <w:tcW w:w="4217" w:type="dxa"/>
          </w:tcPr>
          <w:p w:rsidR="00713B3F" w:rsidRDefault="00713B3F" w:rsidP="00990DF4">
            <w:pPr>
              <w:rPr>
                <w:color w:val="000000" w:themeColor="text1"/>
              </w:rPr>
            </w:pPr>
            <w:r w:rsidRPr="00A4685A">
              <w:rPr>
                <w:rFonts w:ascii="Arial" w:hAnsi="Arial"/>
                <w:b/>
                <w:color w:val="365F91" w:themeColor="accent1" w:themeShade="BF"/>
                <w:sz w:val="24"/>
              </w:rPr>
              <w:t>Expected outcomes</w:t>
            </w:r>
          </w:p>
        </w:tc>
      </w:tr>
      <w:tr w:rsidR="00713B3F" w:rsidTr="00990DF4">
        <w:tc>
          <w:tcPr>
            <w:tcW w:w="5637" w:type="dxa"/>
          </w:tcPr>
          <w:p w:rsidR="008F4F64" w:rsidRDefault="00713B3F" w:rsidP="00E9676C">
            <w:pPr>
              <w:pStyle w:val="ListParagraph"/>
              <w:numPr>
                <w:ilvl w:val="0"/>
                <w:numId w:val="26"/>
              </w:numPr>
              <w:jc w:val="both"/>
              <w:rPr>
                <w:color w:val="000000" w:themeColor="text1"/>
              </w:rPr>
            </w:pPr>
            <w:r w:rsidRPr="00C76016">
              <w:rPr>
                <w:color w:val="000000" w:themeColor="text1"/>
              </w:rPr>
              <w:t xml:space="preserve">Continue </w:t>
            </w:r>
            <w:r w:rsidR="00382133">
              <w:rPr>
                <w:color w:val="000000" w:themeColor="text1"/>
              </w:rPr>
              <w:t>mainstreaming</w:t>
            </w:r>
            <w:r w:rsidRPr="00C76016">
              <w:rPr>
                <w:color w:val="000000" w:themeColor="text1"/>
              </w:rPr>
              <w:t xml:space="preserve"> of genetic </w:t>
            </w:r>
            <w:r w:rsidR="0039556B">
              <w:rPr>
                <w:color w:val="000000" w:themeColor="text1"/>
              </w:rPr>
              <w:t xml:space="preserve">and genomic </w:t>
            </w:r>
            <w:r w:rsidRPr="00C76016">
              <w:rPr>
                <w:color w:val="000000" w:themeColor="text1"/>
              </w:rPr>
              <w:t>healthcare</w:t>
            </w:r>
            <w:r>
              <w:rPr>
                <w:color w:val="000000" w:themeColor="text1"/>
              </w:rPr>
              <w:t xml:space="preserve"> across the service system</w:t>
            </w:r>
            <w:r w:rsidRPr="00C76016">
              <w:rPr>
                <w:color w:val="000000" w:themeColor="text1"/>
              </w:rPr>
              <w:t>.</w:t>
            </w:r>
          </w:p>
        </w:tc>
        <w:tc>
          <w:tcPr>
            <w:tcW w:w="4217" w:type="dxa"/>
          </w:tcPr>
          <w:p w:rsidR="00713B3F" w:rsidRDefault="002C01E3" w:rsidP="00E9676C">
            <w:pPr>
              <w:jc w:val="both"/>
              <w:rPr>
                <w:color w:val="000000" w:themeColor="text1"/>
              </w:rPr>
            </w:pPr>
            <w:r>
              <w:rPr>
                <w:color w:val="000000" w:themeColor="text1"/>
              </w:rPr>
              <w:t>Genomics accepted as routine healthcare practice.</w:t>
            </w:r>
          </w:p>
        </w:tc>
      </w:tr>
      <w:tr w:rsidR="00713B3F" w:rsidTr="00990DF4">
        <w:tc>
          <w:tcPr>
            <w:tcW w:w="5637" w:type="dxa"/>
          </w:tcPr>
          <w:p w:rsidR="008F4F64" w:rsidRDefault="00713B3F" w:rsidP="00E9676C">
            <w:pPr>
              <w:pStyle w:val="ListParagraph"/>
              <w:numPr>
                <w:ilvl w:val="0"/>
                <w:numId w:val="26"/>
              </w:numPr>
              <w:jc w:val="both"/>
              <w:rPr>
                <w:color w:val="000000" w:themeColor="text1"/>
              </w:rPr>
            </w:pPr>
            <w:r w:rsidRPr="00C76016">
              <w:rPr>
                <w:color w:val="000000" w:themeColor="text1"/>
              </w:rPr>
              <w:t xml:space="preserve">Develop a statewide genetic </w:t>
            </w:r>
            <w:r>
              <w:rPr>
                <w:color w:val="000000" w:themeColor="text1"/>
              </w:rPr>
              <w:t xml:space="preserve">and genomic </w:t>
            </w:r>
            <w:r w:rsidRPr="00C76016">
              <w:rPr>
                <w:color w:val="000000" w:themeColor="text1"/>
              </w:rPr>
              <w:t xml:space="preserve">services </w:t>
            </w:r>
            <w:r>
              <w:rPr>
                <w:color w:val="000000" w:themeColor="text1"/>
              </w:rPr>
              <w:t xml:space="preserve">design and </w:t>
            </w:r>
            <w:r w:rsidRPr="00C76016">
              <w:rPr>
                <w:color w:val="000000" w:themeColor="text1"/>
              </w:rPr>
              <w:t xml:space="preserve">infrastructure </w:t>
            </w:r>
            <w:r>
              <w:rPr>
                <w:color w:val="000000" w:themeColor="text1"/>
              </w:rPr>
              <w:t xml:space="preserve">service </w:t>
            </w:r>
            <w:r w:rsidRPr="00C76016">
              <w:rPr>
                <w:color w:val="000000" w:themeColor="text1"/>
              </w:rPr>
              <w:t>plan</w:t>
            </w:r>
            <w:r w:rsidR="00592C77">
              <w:rPr>
                <w:color w:val="000000" w:themeColor="text1"/>
              </w:rPr>
              <w:t>, including workforce</w:t>
            </w:r>
            <w:r w:rsidR="00400280">
              <w:rPr>
                <w:color w:val="000000" w:themeColor="text1"/>
              </w:rPr>
              <w:t xml:space="preserve"> capacity</w:t>
            </w:r>
            <w:r w:rsidRPr="00C76016">
              <w:rPr>
                <w:color w:val="000000" w:themeColor="text1"/>
              </w:rPr>
              <w:t>.</w:t>
            </w:r>
          </w:p>
        </w:tc>
        <w:tc>
          <w:tcPr>
            <w:tcW w:w="4217" w:type="dxa"/>
          </w:tcPr>
          <w:p w:rsidR="00713B3F" w:rsidRDefault="006B4C2B" w:rsidP="00E9676C">
            <w:pPr>
              <w:jc w:val="both"/>
              <w:rPr>
                <w:color w:val="000000" w:themeColor="text1"/>
              </w:rPr>
            </w:pPr>
            <w:r>
              <w:rPr>
                <w:color w:val="000000" w:themeColor="text1"/>
              </w:rPr>
              <w:t>C</w:t>
            </w:r>
            <w:r w:rsidR="002C01E3">
              <w:rPr>
                <w:color w:val="000000" w:themeColor="text1"/>
              </w:rPr>
              <w:t xml:space="preserve">larity regarding future infrastructure and health workforce </w:t>
            </w:r>
            <w:r w:rsidR="00382133">
              <w:rPr>
                <w:color w:val="000000" w:themeColor="text1"/>
              </w:rPr>
              <w:t>requirements</w:t>
            </w:r>
            <w:r w:rsidR="002C01E3">
              <w:rPr>
                <w:color w:val="000000" w:themeColor="text1"/>
              </w:rPr>
              <w:t>.</w:t>
            </w:r>
          </w:p>
        </w:tc>
      </w:tr>
      <w:tr w:rsidR="00713B3F" w:rsidTr="00990DF4">
        <w:tc>
          <w:tcPr>
            <w:tcW w:w="5637" w:type="dxa"/>
          </w:tcPr>
          <w:p w:rsidR="00713B3F" w:rsidRPr="00C76016" w:rsidRDefault="00713B3F" w:rsidP="00E9676C">
            <w:pPr>
              <w:pStyle w:val="ListParagraph"/>
              <w:numPr>
                <w:ilvl w:val="0"/>
                <w:numId w:val="26"/>
              </w:numPr>
              <w:jc w:val="both"/>
              <w:rPr>
                <w:color w:val="000000" w:themeColor="text1"/>
              </w:rPr>
            </w:pPr>
            <w:r>
              <w:rPr>
                <w:color w:val="000000" w:themeColor="text1"/>
              </w:rPr>
              <w:t>D</w:t>
            </w:r>
            <w:r w:rsidRPr="00C76016">
              <w:rPr>
                <w:color w:val="000000" w:themeColor="text1"/>
              </w:rPr>
              <w:t xml:space="preserve">evelop a </w:t>
            </w:r>
            <w:r>
              <w:rPr>
                <w:color w:val="000000" w:themeColor="text1"/>
              </w:rPr>
              <w:t>plan</w:t>
            </w:r>
            <w:r w:rsidRPr="00C76016">
              <w:rPr>
                <w:color w:val="000000" w:themeColor="text1"/>
              </w:rPr>
              <w:t xml:space="preserve"> </w:t>
            </w:r>
            <w:r>
              <w:rPr>
                <w:color w:val="000000" w:themeColor="text1"/>
              </w:rPr>
              <w:t>for the integration of pathogen genomics into the</w:t>
            </w:r>
            <w:r w:rsidRPr="00C76016">
              <w:rPr>
                <w:color w:val="000000" w:themeColor="text1"/>
              </w:rPr>
              <w:t xml:space="preserve"> </w:t>
            </w:r>
            <w:r w:rsidR="002C01E3">
              <w:rPr>
                <w:color w:val="000000" w:themeColor="text1"/>
              </w:rPr>
              <w:t>state-funded</w:t>
            </w:r>
            <w:r w:rsidRPr="00C76016">
              <w:rPr>
                <w:color w:val="000000" w:themeColor="text1"/>
              </w:rPr>
              <w:t xml:space="preserve"> health</w:t>
            </w:r>
            <w:r>
              <w:rPr>
                <w:color w:val="000000" w:themeColor="text1"/>
              </w:rPr>
              <w:t xml:space="preserve"> system.</w:t>
            </w:r>
          </w:p>
        </w:tc>
        <w:tc>
          <w:tcPr>
            <w:tcW w:w="4217" w:type="dxa"/>
          </w:tcPr>
          <w:p w:rsidR="00713B3F" w:rsidRDefault="002C01E3" w:rsidP="00E9676C">
            <w:pPr>
              <w:jc w:val="both"/>
              <w:rPr>
                <w:color w:val="000000" w:themeColor="text1"/>
              </w:rPr>
            </w:pPr>
            <w:r>
              <w:rPr>
                <w:color w:val="000000" w:themeColor="text1"/>
              </w:rPr>
              <w:t>Priorities and resource requirements identified to facilitate</w:t>
            </w:r>
            <w:r w:rsidR="003D6B51">
              <w:rPr>
                <w:color w:val="000000" w:themeColor="text1"/>
              </w:rPr>
              <w:t xml:space="preserve"> clinically and ethically appropriate</w:t>
            </w:r>
            <w:r>
              <w:rPr>
                <w:color w:val="000000" w:themeColor="text1"/>
              </w:rPr>
              <w:t xml:space="preserve"> integration.</w:t>
            </w:r>
          </w:p>
        </w:tc>
      </w:tr>
    </w:tbl>
    <w:p w:rsidR="0054288F" w:rsidRDefault="0024597A" w:rsidP="00921338">
      <w:pPr>
        <w:spacing w:before="240" w:line="240" w:lineRule="auto"/>
        <w:rPr>
          <w:rFonts w:ascii="Arial" w:hAnsi="Arial"/>
          <w:b/>
          <w:color w:val="365F91" w:themeColor="accent1" w:themeShade="BF"/>
          <w:sz w:val="24"/>
        </w:rPr>
      </w:pPr>
      <w:r w:rsidRPr="00141D45">
        <w:rPr>
          <w:rFonts w:ascii="Arial" w:hAnsi="Arial"/>
          <w:b/>
          <w:color w:val="365F91" w:themeColor="accent1" w:themeShade="BF"/>
          <w:sz w:val="24"/>
        </w:rPr>
        <w:t>Issues for the longer term</w:t>
      </w:r>
    </w:p>
    <w:p w:rsidR="0054288F" w:rsidRDefault="00220301" w:rsidP="009376BD">
      <w:pPr>
        <w:spacing w:after="120" w:line="240" w:lineRule="auto"/>
        <w:jc w:val="both"/>
        <w:rPr>
          <w:rFonts w:cs="Arial"/>
          <w:bCs/>
          <w:szCs w:val="24"/>
        </w:rPr>
      </w:pPr>
      <w:r w:rsidRPr="009376BD">
        <w:rPr>
          <w:rFonts w:cs="Arial"/>
          <w:bCs/>
          <w:szCs w:val="24"/>
        </w:rPr>
        <w:t xml:space="preserve">The </w:t>
      </w:r>
      <w:r>
        <w:rPr>
          <w:rFonts w:cs="Arial"/>
          <w:bCs/>
          <w:szCs w:val="24"/>
        </w:rPr>
        <w:t>health</w:t>
      </w:r>
      <w:r w:rsidRPr="009376BD">
        <w:rPr>
          <w:rFonts w:cs="Arial"/>
          <w:bCs/>
          <w:szCs w:val="24"/>
        </w:rPr>
        <w:t xml:space="preserve"> system will need to address the increasing </w:t>
      </w:r>
      <w:r w:rsidR="0024597A" w:rsidRPr="009376BD">
        <w:rPr>
          <w:rFonts w:cs="Arial"/>
          <w:bCs/>
          <w:szCs w:val="24"/>
        </w:rPr>
        <w:t xml:space="preserve">awareness </w:t>
      </w:r>
      <w:r>
        <w:rPr>
          <w:rFonts w:cs="Arial"/>
          <w:bCs/>
          <w:szCs w:val="24"/>
        </w:rPr>
        <w:t xml:space="preserve">and utility </w:t>
      </w:r>
      <w:r w:rsidR="0024597A" w:rsidRPr="009376BD">
        <w:rPr>
          <w:rFonts w:cs="Arial"/>
          <w:bCs/>
          <w:szCs w:val="24"/>
        </w:rPr>
        <w:t>of</w:t>
      </w:r>
      <w:r w:rsidR="007B6DE0" w:rsidRPr="009376BD">
        <w:rPr>
          <w:rFonts w:cs="Arial"/>
          <w:bCs/>
          <w:szCs w:val="24"/>
        </w:rPr>
        <w:t xml:space="preserve"> the role of genetics and genomics in improving health and wellbeing</w:t>
      </w:r>
      <w:r>
        <w:rPr>
          <w:rFonts w:cs="Arial"/>
          <w:bCs/>
          <w:szCs w:val="24"/>
        </w:rPr>
        <w:t>.</w:t>
      </w:r>
    </w:p>
    <w:p w:rsidR="00220301" w:rsidRPr="009376BD" w:rsidRDefault="00220301" w:rsidP="009376BD">
      <w:pPr>
        <w:spacing w:after="0" w:line="240" w:lineRule="auto"/>
        <w:jc w:val="both"/>
        <w:rPr>
          <w:rFonts w:cs="Arial"/>
          <w:bCs/>
          <w:szCs w:val="24"/>
        </w:rPr>
      </w:pPr>
    </w:p>
    <w:p w:rsidR="006E41A7" w:rsidRPr="00F905A3" w:rsidRDefault="006E41A7" w:rsidP="006E41A7">
      <w:pPr>
        <w:pStyle w:val="DHSNumberText"/>
        <w:numPr>
          <w:ilvl w:val="0"/>
          <w:numId w:val="0"/>
        </w:numPr>
        <w:pBdr>
          <w:top w:val="single" w:sz="4" w:space="1" w:color="auto"/>
          <w:left w:val="single" w:sz="4" w:space="4" w:color="auto"/>
          <w:bottom w:val="single" w:sz="4" w:space="6" w:color="auto"/>
          <w:right w:val="single" w:sz="4" w:space="4" w:color="auto"/>
        </w:pBdr>
        <w:rPr>
          <w:b/>
          <w:szCs w:val="24"/>
        </w:rPr>
      </w:pPr>
      <w:r>
        <w:rPr>
          <w:b/>
          <w:szCs w:val="24"/>
        </w:rPr>
        <w:t xml:space="preserve">Vignette </w:t>
      </w:r>
      <w:r w:rsidR="007E4485">
        <w:rPr>
          <w:b/>
          <w:szCs w:val="24"/>
        </w:rPr>
        <w:t>7</w:t>
      </w:r>
    </w:p>
    <w:p w:rsidR="006E41A7" w:rsidRPr="00410149" w:rsidRDefault="006E41A7" w:rsidP="009376BD">
      <w:pPr>
        <w:pStyle w:val="DHHSbody"/>
        <w:pBdr>
          <w:top w:val="single" w:sz="4" w:space="1" w:color="auto"/>
          <w:left w:val="single" w:sz="4" w:space="4" w:color="auto"/>
          <w:bottom w:val="single" w:sz="4" w:space="6" w:color="auto"/>
          <w:right w:val="single" w:sz="4" w:space="4" w:color="auto"/>
        </w:pBdr>
        <w:spacing w:line="240" w:lineRule="auto"/>
        <w:jc w:val="both"/>
        <w:rPr>
          <w:rFonts w:asciiTheme="minorHAnsi" w:hAnsiTheme="minorHAnsi"/>
          <w:sz w:val="22"/>
          <w:szCs w:val="24"/>
        </w:rPr>
      </w:pPr>
      <w:r w:rsidRPr="00410149">
        <w:rPr>
          <w:rFonts w:asciiTheme="minorHAnsi" w:hAnsiTheme="minorHAnsi"/>
          <w:sz w:val="22"/>
          <w:szCs w:val="24"/>
        </w:rPr>
        <w:t xml:space="preserve">A 45 year old woman was diagnosed with acute myeloid leukaemia (AML).  Treatment options include a stem cell transplant, which requires the Human Leucocyte Antigen genes (HLA type) of potential donors and the recipient to be tested to identify immunological matching.  </w:t>
      </w:r>
      <w:r w:rsidRPr="00DC176C">
        <w:rPr>
          <w:rFonts w:asciiTheme="minorHAnsi" w:hAnsiTheme="minorHAnsi"/>
          <w:sz w:val="22"/>
          <w:szCs w:val="24"/>
        </w:rPr>
        <w:t>If the HLA genes are not identical</w:t>
      </w:r>
      <w:r w:rsidRPr="00410149">
        <w:rPr>
          <w:rFonts w:asciiTheme="minorHAnsi" w:hAnsiTheme="minorHAnsi"/>
          <w:sz w:val="22"/>
          <w:szCs w:val="24"/>
        </w:rPr>
        <w:t xml:space="preserve">, there is a risk of lack of engraftment (i.e. rejection of the stem cells or graft versus host disease where the new stem cells react with the patients tissues).  </w:t>
      </w:r>
      <w:r w:rsidRPr="009D66DE">
        <w:rPr>
          <w:rFonts w:asciiTheme="minorHAnsi" w:hAnsiTheme="minorHAnsi"/>
          <w:sz w:val="22"/>
          <w:szCs w:val="24"/>
        </w:rPr>
        <w:t xml:space="preserve">Both these complications can </w:t>
      </w:r>
      <w:r w:rsidR="009D66DE">
        <w:rPr>
          <w:rFonts w:asciiTheme="minorHAnsi" w:hAnsiTheme="minorHAnsi"/>
          <w:sz w:val="22"/>
          <w:szCs w:val="24"/>
        </w:rPr>
        <w:t>cause mortality</w:t>
      </w:r>
      <w:r w:rsidRPr="00410149">
        <w:rPr>
          <w:rFonts w:asciiTheme="minorHAnsi" w:hAnsiTheme="minorHAnsi"/>
          <w:sz w:val="22"/>
          <w:szCs w:val="24"/>
        </w:rPr>
        <w:t xml:space="preserve">.  DNA sequencing of the HLA genes can identify minute genetic differences that ensure immunological matching of </w:t>
      </w:r>
      <w:r w:rsidR="009D66DE" w:rsidRPr="00410149">
        <w:rPr>
          <w:rFonts w:asciiTheme="minorHAnsi" w:hAnsiTheme="minorHAnsi"/>
          <w:sz w:val="22"/>
          <w:szCs w:val="24"/>
        </w:rPr>
        <w:t xml:space="preserve">donor </w:t>
      </w:r>
      <w:r w:rsidRPr="00410149">
        <w:rPr>
          <w:rFonts w:asciiTheme="minorHAnsi" w:hAnsiTheme="minorHAnsi"/>
          <w:sz w:val="22"/>
          <w:szCs w:val="24"/>
        </w:rPr>
        <w:t>stem cell</w:t>
      </w:r>
      <w:r w:rsidR="009D66DE">
        <w:rPr>
          <w:rFonts w:asciiTheme="minorHAnsi" w:hAnsiTheme="minorHAnsi"/>
          <w:sz w:val="22"/>
          <w:szCs w:val="24"/>
        </w:rPr>
        <w:t>s</w:t>
      </w:r>
      <w:r w:rsidRPr="00410149">
        <w:rPr>
          <w:rFonts w:asciiTheme="minorHAnsi" w:hAnsiTheme="minorHAnsi"/>
          <w:sz w:val="22"/>
          <w:szCs w:val="24"/>
        </w:rPr>
        <w:t xml:space="preserve"> </w:t>
      </w:r>
      <w:r w:rsidR="009D66DE">
        <w:rPr>
          <w:rFonts w:asciiTheme="minorHAnsi" w:hAnsiTheme="minorHAnsi"/>
          <w:sz w:val="22"/>
          <w:szCs w:val="24"/>
        </w:rPr>
        <w:t xml:space="preserve">to </w:t>
      </w:r>
      <w:r w:rsidR="007755BE">
        <w:rPr>
          <w:rFonts w:asciiTheme="minorHAnsi" w:hAnsiTheme="minorHAnsi"/>
          <w:sz w:val="22"/>
          <w:szCs w:val="24"/>
        </w:rPr>
        <w:t>the</w:t>
      </w:r>
      <w:r w:rsidR="007755BE" w:rsidRPr="00410149">
        <w:rPr>
          <w:rFonts w:asciiTheme="minorHAnsi" w:hAnsiTheme="minorHAnsi"/>
          <w:sz w:val="22"/>
          <w:szCs w:val="24"/>
        </w:rPr>
        <w:t xml:space="preserve"> recipient</w:t>
      </w:r>
      <w:r w:rsidRPr="00410149">
        <w:rPr>
          <w:rFonts w:asciiTheme="minorHAnsi" w:hAnsiTheme="minorHAnsi"/>
          <w:sz w:val="22"/>
          <w:szCs w:val="24"/>
        </w:rPr>
        <w:t xml:space="preserve"> and offer the best transplant outcome.</w:t>
      </w:r>
    </w:p>
    <w:p w:rsidR="00EB3810" w:rsidRDefault="00EB3810" w:rsidP="007B6DE0">
      <w:pPr>
        <w:spacing w:after="0" w:line="240" w:lineRule="auto"/>
      </w:pPr>
    </w:p>
    <w:p w:rsidR="0024597A" w:rsidRPr="00921338" w:rsidRDefault="00592C77" w:rsidP="00CC7DBD">
      <w:pPr>
        <w:pBdr>
          <w:top w:val="single" w:sz="4" w:space="1" w:color="auto"/>
          <w:left w:val="single" w:sz="4" w:space="4" w:color="auto"/>
          <w:bottom w:val="single" w:sz="4" w:space="1" w:color="auto"/>
          <w:right w:val="single" w:sz="4" w:space="4" w:color="auto"/>
        </w:pBdr>
        <w:jc w:val="center"/>
        <w:rPr>
          <w:b/>
          <w:i/>
        </w:rPr>
      </w:pPr>
      <w:r>
        <w:rPr>
          <w:b/>
          <w:i/>
          <w:color w:val="000000" w:themeColor="text1"/>
        </w:rPr>
        <w:t xml:space="preserve">Q7. </w:t>
      </w:r>
      <w:r w:rsidR="008F4F64" w:rsidRPr="00921338">
        <w:rPr>
          <w:b/>
          <w:i/>
          <w:color w:val="000000" w:themeColor="text1"/>
        </w:rPr>
        <w:t>Are the proposed actions the right areas to achieve the vision or are there other actions of higher priority that should be considered?</w:t>
      </w:r>
    </w:p>
    <w:p w:rsidR="003D6B51" w:rsidRDefault="003D6B51">
      <w:pPr>
        <w:rPr>
          <w:rFonts w:asciiTheme="majorHAnsi" w:eastAsiaTheme="majorEastAsia" w:hAnsiTheme="majorHAnsi" w:cstheme="majorBidi"/>
          <w:color w:val="17365D" w:themeColor="text2" w:themeShade="BF"/>
          <w:spacing w:val="5"/>
          <w:sz w:val="52"/>
          <w:szCs w:val="52"/>
          <w:lang w:val="en-US"/>
        </w:rPr>
      </w:pPr>
      <w:r>
        <w:br w:type="page"/>
      </w:r>
    </w:p>
    <w:p w:rsidR="00287B20" w:rsidRDefault="00A33F10" w:rsidP="00A33F10">
      <w:pPr>
        <w:pStyle w:val="Heading1"/>
        <w:spacing w:after="240"/>
      </w:pPr>
      <w:bookmarkStart w:id="29" w:name="_Toc458511950"/>
      <w:r>
        <w:lastRenderedPageBreak/>
        <w:t>Driving</w:t>
      </w:r>
      <w:r w:rsidR="00287B20" w:rsidRPr="00A33F10">
        <w:t xml:space="preserve"> </w:t>
      </w:r>
      <w:r w:rsidR="00987B3A">
        <w:t xml:space="preserve">quality, safety and </w:t>
      </w:r>
      <w:r w:rsidR="00287B20" w:rsidRPr="00A33F10">
        <w:t>innovation</w:t>
      </w:r>
      <w:bookmarkEnd w:id="29"/>
    </w:p>
    <w:p w:rsidR="00287B20" w:rsidRPr="00141D45" w:rsidRDefault="00287B20" w:rsidP="00287B20">
      <w:pPr>
        <w:rPr>
          <w:rFonts w:ascii="Arial" w:eastAsiaTheme="minorEastAsia" w:hAnsi="Arial"/>
          <w:b/>
          <w:color w:val="365F91" w:themeColor="accent1" w:themeShade="BF"/>
          <w:sz w:val="24"/>
          <w:lang w:val="en-US"/>
        </w:rPr>
      </w:pPr>
      <w:r w:rsidRPr="00141D45">
        <w:rPr>
          <w:rFonts w:ascii="Arial" w:eastAsiaTheme="minorEastAsia" w:hAnsi="Arial"/>
          <w:b/>
          <w:color w:val="365F91" w:themeColor="accent1" w:themeShade="BF"/>
          <w:sz w:val="24"/>
          <w:lang w:val="en-US"/>
        </w:rPr>
        <w:t>Key issues</w:t>
      </w:r>
    </w:p>
    <w:p w:rsidR="006B4C2B" w:rsidRDefault="001E24D6" w:rsidP="00287B20">
      <w:pPr>
        <w:pStyle w:val="ListParagraph"/>
        <w:numPr>
          <w:ilvl w:val="0"/>
          <w:numId w:val="2"/>
        </w:numPr>
        <w:jc w:val="both"/>
        <w:rPr>
          <w:rFonts w:eastAsia="Times" w:cs="Times New Roman"/>
          <w:szCs w:val="24"/>
          <w:lang w:val="en-AU"/>
        </w:rPr>
      </w:pPr>
      <w:r>
        <w:rPr>
          <w:rFonts w:eastAsia="Times" w:cs="Times New Roman"/>
          <w:szCs w:val="24"/>
          <w:lang w:val="en-AU"/>
        </w:rPr>
        <w:t>Genomic healthcare needs to be safe and high quality.</w:t>
      </w:r>
    </w:p>
    <w:p w:rsidR="009A31B8" w:rsidRPr="00A33F10" w:rsidRDefault="00C93FE9" w:rsidP="00287B20">
      <w:pPr>
        <w:pStyle w:val="ListParagraph"/>
        <w:numPr>
          <w:ilvl w:val="0"/>
          <w:numId w:val="2"/>
        </w:numPr>
        <w:jc w:val="both"/>
        <w:rPr>
          <w:rFonts w:eastAsia="Times" w:cs="Times New Roman"/>
          <w:szCs w:val="24"/>
          <w:lang w:val="en-AU"/>
        </w:rPr>
      </w:pPr>
      <w:r>
        <w:rPr>
          <w:rFonts w:eastAsia="Times" w:cs="Times New Roman"/>
          <w:szCs w:val="24"/>
          <w:lang w:val="en-AU"/>
        </w:rPr>
        <w:t xml:space="preserve">Victoria is established as a </w:t>
      </w:r>
      <w:r w:rsidR="009A31B8" w:rsidRPr="00A33F10">
        <w:rPr>
          <w:rFonts w:eastAsia="Times" w:cs="Times New Roman"/>
          <w:szCs w:val="24"/>
          <w:lang w:val="en-AU"/>
        </w:rPr>
        <w:t>leader in genomic healthcare innovation</w:t>
      </w:r>
      <w:r w:rsidR="00A05277">
        <w:rPr>
          <w:rFonts w:eastAsia="Times" w:cs="Times New Roman"/>
          <w:szCs w:val="24"/>
          <w:lang w:val="en-AU"/>
        </w:rPr>
        <w:t>.</w:t>
      </w:r>
    </w:p>
    <w:p w:rsidR="00287B20" w:rsidRPr="00141D45" w:rsidRDefault="00287B20" w:rsidP="00287B20">
      <w:pPr>
        <w:rPr>
          <w:rFonts w:ascii="Arial" w:hAnsi="Arial"/>
          <w:sz w:val="24"/>
        </w:rPr>
      </w:pPr>
      <w:r w:rsidRPr="00141D45">
        <w:rPr>
          <w:rFonts w:ascii="Arial" w:hAnsi="Arial"/>
          <w:b/>
          <w:color w:val="365F91" w:themeColor="accent1" w:themeShade="BF"/>
          <w:sz w:val="24"/>
        </w:rPr>
        <w:t xml:space="preserve">Steps already taken </w:t>
      </w:r>
    </w:p>
    <w:p w:rsidR="003D6B51" w:rsidRDefault="003D6B51" w:rsidP="003D6B51">
      <w:pPr>
        <w:jc w:val="both"/>
        <w:rPr>
          <w:rFonts w:cs="Arial"/>
          <w:szCs w:val="24"/>
        </w:rPr>
      </w:pPr>
      <w:r>
        <w:rPr>
          <w:rFonts w:cs="Arial"/>
          <w:szCs w:val="24"/>
        </w:rPr>
        <w:t xml:space="preserve">The 2016 </w:t>
      </w:r>
      <w:r w:rsidRPr="00E9676C">
        <w:rPr>
          <w:rFonts w:cs="Arial"/>
          <w:i/>
          <w:szCs w:val="24"/>
        </w:rPr>
        <w:t>Review of Hospital Safety and Quality Assurance in Victoria</w:t>
      </w:r>
      <w:r>
        <w:rPr>
          <w:rFonts w:cs="Arial"/>
          <w:szCs w:val="24"/>
        </w:rPr>
        <w:t xml:space="preserve"> </w:t>
      </w:r>
      <w:r w:rsidR="003E7EAB">
        <w:rPr>
          <w:rFonts w:cs="Arial"/>
          <w:szCs w:val="24"/>
        </w:rPr>
        <w:t>is expected to contain</w:t>
      </w:r>
      <w:r>
        <w:rPr>
          <w:rFonts w:cs="Arial"/>
          <w:szCs w:val="24"/>
        </w:rPr>
        <w:t xml:space="preserve"> a number of recommendations to improve the quality and safety of health services in Victoria.</w:t>
      </w:r>
    </w:p>
    <w:p w:rsidR="00287B20" w:rsidRDefault="00B1778C">
      <w:pPr>
        <w:jc w:val="both"/>
        <w:rPr>
          <w:rFonts w:cs="Arial"/>
          <w:szCs w:val="24"/>
        </w:rPr>
      </w:pPr>
      <w:r>
        <w:rPr>
          <w:rFonts w:cs="Arial"/>
          <w:szCs w:val="24"/>
        </w:rPr>
        <w:t xml:space="preserve">The </w:t>
      </w:r>
      <w:r w:rsidR="009043EC" w:rsidRPr="00A33F10">
        <w:rPr>
          <w:rFonts w:cs="Arial"/>
          <w:szCs w:val="24"/>
        </w:rPr>
        <w:t xml:space="preserve">Victorian </w:t>
      </w:r>
      <w:r>
        <w:rPr>
          <w:rFonts w:cs="Arial"/>
          <w:szCs w:val="24"/>
        </w:rPr>
        <w:t xml:space="preserve">Government </w:t>
      </w:r>
      <w:r w:rsidR="00867E69">
        <w:rPr>
          <w:rFonts w:cs="Arial"/>
          <w:szCs w:val="24"/>
        </w:rPr>
        <w:t xml:space="preserve">recently </w:t>
      </w:r>
      <w:r w:rsidR="009F4143">
        <w:rPr>
          <w:rFonts w:cs="Arial"/>
          <w:szCs w:val="24"/>
        </w:rPr>
        <w:t xml:space="preserve">launched </w:t>
      </w:r>
      <w:r>
        <w:rPr>
          <w:rFonts w:cs="Arial"/>
          <w:szCs w:val="24"/>
        </w:rPr>
        <w:t xml:space="preserve">its </w:t>
      </w:r>
      <w:r w:rsidR="00867E69" w:rsidRPr="008E7F17">
        <w:rPr>
          <w:rFonts w:cs="Arial"/>
          <w:i/>
          <w:szCs w:val="24"/>
        </w:rPr>
        <w:t>Healthier lives, stronger economy: Victoria’s Health and Medical Research Strategy 2016-20</w:t>
      </w:r>
      <w:r w:rsidR="00867E69">
        <w:rPr>
          <w:rFonts w:cs="Arial"/>
          <w:i/>
          <w:szCs w:val="24"/>
        </w:rPr>
        <w:t xml:space="preserve">, </w:t>
      </w:r>
      <w:r w:rsidR="00220301" w:rsidRPr="009376BD">
        <w:rPr>
          <w:i/>
        </w:rPr>
        <w:t>Victoria’s International Health Strategy 2016–2020</w:t>
      </w:r>
      <w:r w:rsidR="00220301">
        <w:t xml:space="preserve"> and </w:t>
      </w:r>
      <w:r w:rsidR="00220301" w:rsidRPr="009376BD">
        <w:rPr>
          <w:i/>
        </w:rPr>
        <w:t>Future Industries Medical Technologies and Pharmaceuticals Sector Strategy</w:t>
      </w:r>
      <w:r w:rsidR="00987B3A">
        <w:t xml:space="preserve">.  </w:t>
      </w:r>
      <w:r w:rsidR="003E7EAB">
        <w:rPr>
          <w:rFonts w:cs="Arial"/>
          <w:szCs w:val="24"/>
        </w:rPr>
        <w:t xml:space="preserve">The </w:t>
      </w:r>
      <w:r w:rsidR="003E7EAB" w:rsidRPr="00A33F10">
        <w:rPr>
          <w:rFonts w:cs="Arial"/>
          <w:szCs w:val="24"/>
        </w:rPr>
        <w:t xml:space="preserve">Victorian </w:t>
      </w:r>
      <w:r w:rsidR="003E7EAB">
        <w:rPr>
          <w:rFonts w:cs="Arial"/>
          <w:szCs w:val="24"/>
        </w:rPr>
        <w:t xml:space="preserve">Government </w:t>
      </w:r>
      <w:r>
        <w:rPr>
          <w:rFonts w:cs="Arial"/>
          <w:szCs w:val="24"/>
        </w:rPr>
        <w:t xml:space="preserve">provided </w:t>
      </w:r>
      <w:r w:rsidR="00F91867" w:rsidRPr="00A33F10">
        <w:rPr>
          <w:rFonts w:cs="Arial"/>
          <w:szCs w:val="24"/>
        </w:rPr>
        <w:t xml:space="preserve">$25M </w:t>
      </w:r>
      <w:r w:rsidR="009043EC" w:rsidRPr="00A33F10">
        <w:rPr>
          <w:rFonts w:cs="Arial"/>
          <w:szCs w:val="24"/>
        </w:rPr>
        <w:t xml:space="preserve">to </w:t>
      </w:r>
      <w:r w:rsidR="00266A58">
        <w:rPr>
          <w:rFonts w:cs="Arial"/>
          <w:szCs w:val="24"/>
        </w:rPr>
        <w:t>the</w:t>
      </w:r>
      <w:r w:rsidR="00C93FE9">
        <w:rPr>
          <w:rFonts w:cs="Arial"/>
          <w:szCs w:val="24"/>
        </w:rPr>
        <w:t xml:space="preserve"> Melbourne Genomics Health Alliance</w:t>
      </w:r>
      <w:r w:rsidR="00266A58">
        <w:rPr>
          <w:rFonts w:cs="Arial"/>
          <w:szCs w:val="24"/>
        </w:rPr>
        <w:t xml:space="preserve"> to build genomic sequencing capability in Victoria</w:t>
      </w:r>
      <w:r w:rsidR="00C93FE9">
        <w:rPr>
          <w:rFonts w:cs="Arial"/>
          <w:szCs w:val="24"/>
        </w:rPr>
        <w:t>.</w:t>
      </w:r>
    </w:p>
    <w:p w:rsidR="00987B3A" w:rsidRDefault="00266A58" w:rsidP="00921338">
      <w:pPr>
        <w:jc w:val="both"/>
        <w:rPr>
          <w:color w:val="000000" w:themeColor="text1"/>
        </w:rPr>
      </w:pPr>
      <w:r>
        <w:rPr>
          <w:rFonts w:cs="Arial"/>
          <w:szCs w:val="24"/>
        </w:rPr>
        <w:t>Further innovation in Victoria is being driven through the Better Care Victoria Innovation Fund, the Victorian Cancer Agency and clinical networks to test new ideas and develop additional capabilities.</w:t>
      </w:r>
    </w:p>
    <w:tbl>
      <w:tblPr>
        <w:tblStyle w:val="TableGrid"/>
        <w:tblW w:w="0" w:type="auto"/>
        <w:tblLook w:val="04A0" w:firstRow="1" w:lastRow="0" w:firstColumn="1" w:lastColumn="0" w:noHBand="0" w:noVBand="1"/>
      </w:tblPr>
      <w:tblGrid>
        <w:gridCol w:w="5637"/>
        <w:gridCol w:w="4217"/>
      </w:tblGrid>
      <w:tr w:rsidR="00DD25C8" w:rsidTr="00990DF4">
        <w:tc>
          <w:tcPr>
            <w:tcW w:w="5637" w:type="dxa"/>
          </w:tcPr>
          <w:p w:rsidR="00DD25C8" w:rsidRDefault="00DD25C8" w:rsidP="00990DF4">
            <w:pPr>
              <w:rPr>
                <w:color w:val="000000" w:themeColor="text1"/>
              </w:rPr>
            </w:pPr>
            <w:r w:rsidRPr="00141D45">
              <w:rPr>
                <w:rFonts w:ascii="Arial" w:hAnsi="Arial"/>
                <w:b/>
                <w:color w:val="365F91" w:themeColor="accent1" w:themeShade="BF"/>
                <w:sz w:val="24"/>
              </w:rPr>
              <w:t>Proposed actions</w:t>
            </w:r>
          </w:p>
        </w:tc>
        <w:tc>
          <w:tcPr>
            <w:tcW w:w="4217" w:type="dxa"/>
          </w:tcPr>
          <w:p w:rsidR="00DD25C8" w:rsidRDefault="00DD25C8" w:rsidP="00990DF4">
            <w:pPr>
              <w:rPr>
                <w:color w:val="000000" w:themeColor="text1"/>
              </w:rPr>
            </w:pPr>
            <w:r w:rsidRPr="00A4685A">
              <w:rPr>
                <w:rFonts w:ascii="Arial" w:hAnsi="Arial"/>
                <w:b/>
                <w:color w:val="365F91" w:themeColor="accent1" w:themeShade="BF"/>
                <w:sz w:val="24"/>
              </w:rPr>
              <w:t>Expected outcomes</w:t>
            </w:r>
          </w:p>
        </w:tc>
      </w:tr>
      <w:tr w:rsidR="006B4C2B" w:rsidTr="00D2400D">
        <w:tc>
          <w:tcPr>
            <w:tcW w:w="5637" w:type="dxa"/>
          </w:tcPr>
          <w:p w:rsidR="006B4C2B" w:rsidRDefault="006B4C2B">
            <w:pPr>
              <w:pStyle w:val="ListParagraph"/>
              <w:numPr>
                <w:ilvl w:val="0"/>
                <w:numId w:val="27"/>
              </w:numPr>
              <w:jc w:val="both"/>
              <w:rPr>
                <w:color w:val="000000" w:themeColor="text1"/>
              </w:rPr>
            </w:pPr>
            <w:r>
              <w:rPr>
                <w:color w:val="000000" w:themeColor="text1"/>
              </w:rPr>
              <w:t>Establish an independent advisory body to provide ongoing advice on Victorian genomic healthcare provision and drive adoption of innovative practice.</w:t>
            </w:r>
          </w:p>
        </w:tc>
        <w:tc>
          <w:tcPr>
            <w:tcW w:w="4217" w:type="dxa"/>
          </w:tcPr>
          <w:p w:rsidR="006B4C2B" w:rsidRDefault="006B4C2B" w:rsidP="00D2400D">
            <w:pPr>
              <w:jc w:val="both"/>
              <w:rPr>
                <w:color w:val="000000" w:themeColor="text1"/>
              </w:rPr>
            </w:pPr>
            <w:r>
              <w:rPr>
                <w:color w:val="000000" w:themeColor="text1"/>
              </w:rPr>
              <w:t>Key stakeholders advise on and drive service system change.</w:t>
            </w:r>
          </w:p>
        </w:tc>
      </w:tr>
      <w:tr w:rsidR="00DD25C8" w:rsidTr="00990DF4">
        <w:tc>
          <w:tcPr>
            <w:tcW w:w="5637" w:type="dxa"/>
          </w:tcPr>
          <w:p w:rsidR="008F4F64" w:rsidRDefault="00DD25C8" w:rsidP="00E9676C">
            <w:pPr>
              <w:pStyle w:val="ListParagraph"/>
              <w:numPr>
                <w:ilvl w:val="0"/>
                <w:numId w:val="27"/>
              </w:numPr>
              <w:jc w:val="both"/>
              <w:rPr>
                <w:color w:val="000000" w:themeColor="text1"/>
              </w:rPr>
            </w:pPr>
            <w:r w:rsidRPr="00184473">
              <w:rPr>
                <w:color w:val="000000" w:themeColor="text1"/>
              </w:rPr>
              <w:t>Leverage existing state and national research, innovations and biotechnology funding to support translational research in genomic healthcare.</w:t>
            </w:r>
          </w:p>
        </w:tc>
        <w:tc>
          <w:tcPr>
            <w:tcW w:w="4217" w:type="dxa"/>
          </w:tcPr>
          <w:p w:rsidR="00DD25C8" w:rsidRDefault="00DD25C8" w:rsidP="00E9676C">
            <w:pPr>
              <w:jc w:val="both"/>
              <w:rPr>
                <w:color w:val="000000" w:themeColor="text1"/>
              </w:rPr>
            </w:pPr>
            <w:r>
              <w:rPr>
                <w:color w:val="000000" w:themeColor="text1"/>
              </w:rPr>
              <w:t xml:space="preserve">Victoria established as a </w:t>
            </w:r>
            <w:r w:rsidR="00296FA8">
              <w:rPr>
                <w:color w:val="000000" w:themeColor="text1"/>
              </w:rPr>
              <w:t xml:space="preserve">national </w:t>
            </w:r>
            <w:r>
              <w:rPr>
                <w:color w:val="000000" w:themeColor="text1"/>
              </w:rPr>
              <w:t>leader in</w:t>
            </w:r>
            <w:r w:rsidR="00296FA8">
              <w:rPr>
                <w:color w:val="000000" w:themeColor="text1"/>
              </w:rPr>
              <w:t>, and major driver of,</w:t>
            </w:r>
            <w:r>
              <w:rPr>
                <w:color w:val="000000" w:themeColor="text1"/>
              </w:rPr>
              <w:t xml:space="preserve"> clinical genomic innovation.</w:t>
            </w:r>
          </w:p>
        </w:tc>
      </w:tr>
      <w:tr w:rsidR="00F94851" w:rsidTr="00990DF4">
        <w:tc>
          <w:tcPr>
            <w:tcW w:w="5637" w:type="dxa"/>
          </w:tcPr>
          <w:p w:rsidR="00F94851" w:rsidRPr="00184473" w:rsidRDefault="00F94851" w:rsidP="00E9676C">
            <w:pPr>
              <w:pStyle w:val="ListParagraph"/>
              <w:numPr>
                <w:ilvl w:val="0"/>
                <w:numId w:val="27"/>
              </w:numPr>
              <w:jc w:val="both"/>
              <w:rPr>
                <w:color w:val="000000" w:themeColor="text1"/>
              </w:rPr>
            </w:pPr>
            <w:r>
              <w:rPr>
                <w:color w:val="000000" w:themeColor="text1"/>
              </w:rPr>
              <w:t xml:space="preserve">Position Victoria’s public health reference laboratories </w:t>
            </w:r>
            <w:r w:rsidR="002B5F61">
              <w:rPr>
                <w:color w:val="000000" w:themeColor="text1"/>
              </w:rPr>
              <w:t xml:space="preserve">to take a national leadership position in the development and implementation of national microbial </w:t>
            </w:r>
            <w:r w:rsidR="00266A58">
              <w:rPr>
                <w:color w:val="000000" w:themeColor="text1"/>
              </w:rPr>
              <w:t xml:space="preserve">and infectious disease </w:t>
            </w:r>
            <w:r w:rsidR="002B5F61">
              <w:rPr>
                <w:color w:val="000000" w:themeColor="text1"/>
              </w:rPr>
              <w:t>genomics policy and expertise</w:t>
            </w:r>
            <w:r w:rsidR="00EB7A29">
              <w:rPr>
                <w:color w:val="000000" w:themeColor="text1"/>
              </w:rPr>
              <w:t>.</w:t>
            </w:r>
          </w:p>
        </w:tc>
        <w:tc>
          <w:tcPr>
            <w:tcW w:w="4217" w:type="dxa"/>
          </w:tcPr>
          <w:p w:rsidR="00F94851" w:rsidRDefault="002B5F61" w:rsidP="00E9676C">
            <w:pPr>
              <w:jc w:val="both"/>
              <w:rPr>
                <w:color w:val="000000" w:themeColor="text1"/>
              </w:rPr>
            </w:pPr>
            <w:r>
              <w:rPr>
                <w:color w:val="000000" w:themeColor="text1"/>
              </w:rPr>
              <w:t xml:space="preserve">Victoria established as a </w:t>
            </w:r>
            <w:r w:rsidR="005639DA">
              <w:rPr>
                <w:color w:val="000000" w:themeColor="text1"/>
              </w:rPr>
              <w:t xml:space="preserve">national </w:t>
            </w:r>
            <w:r>
              <w:rPr>
                <w:color w:val="000000" w:themeColor="text1"/>
              </w:rPr>
              <w:t xml:space="preserve">leader in </w:t>
            </w:r>
            <w:r w:rsidR="0030007D">
              <w:rPr>
                <w:color w:val="000000" w:themeColor="text1"/>
              </w:rPr>
              <w:t xml:space="preserve">public health </w:t>
            </w:r>
            <w:r>
              <w:rPr>
                <w:color w:val="000000" w:themeColor="text1"/>
              </w:rPr>
              <w:t xml:space="preserve">microbial </w:t>
            </w:r>
            <w:r w:rsidR="00266A58">
              <w:rPr>
                <w:color w:val="000000" w:themeColor="text1"/>
              </w:rPr>
              <w:t xml:space="preserve">and infectious disease </w:t>
            </w:r>
            <w:r>
              <w:rPr>
                <w:color w:val="000000" w:themeColor="text1"/>
              </w:rPr>
              <w:t>genomics</w:t>
            </w:r>
            <w:r w:rsidR="005639DA">
              <w:rPr>
                <w:color w:val="000000" w:themeColor="text1"/>
              </w:rPr>
              <w:t xml:space="preserve"> testing and practice</w:t>
            </w:r>
            <w:r>
              <w:rPr>
                <w:color w:val="000000" w:themeColor="text1"/>
              </w:rPr>
              <w:t>.</w:t>
            </w:r>
          </w:p>
        </w:tc>
      </w:tr>
    </w:tbl>
    <w:p w:rsidR="00B76701" w:rsidRDefault="00B76701" w:rsidP="00B76701">
      <w:pPr>
        <w:spacing w:after="0" w:line="240" w:lineRule="auto"/>
        <w:rPr>
          <w:color w:val="000000" w:themeColor="text1"/>
        </w:rPr>
      </w:pPr>
    </w:p>
    <w:p w:rsidR="00B76701" w:rsidRPr="00141D45" w:rsidRDefault="00B76701" w:rsidP="00B76701">
      <w:pPr>
        <w:rPr>
          <w:rFonts w:ascii="Arial" w:hAnsi="Arial"/>
          <w:b/>
          <w:color w:val="365F91" w:themeColor="accent1" w:themeShade="BF"/>
          <w:sz w:val="24"/>
        </w:rPr>
      </w:pPr>
      <w:r w:rsidRPr="00141D45">
        <w:rPr>
          <w:rFonts w:ascii="Arial" w:hAnsi="Arial"/>
          <w:b/>
          <w:color w:val="365F91" w:themeColor="accent1" w:themeShade="BF"/>
          <w:sz w:val="24"/>
        </w:rPr>
        <w:t>Issues for the longer term</w:t>
      </w:r>
    </w:p>
    <w:p w:rsidR="00F91867" w:rsidRDefault="001A3ED7" w:rsidP="00E9676C">
      <w:pPr>
        <w:spacing w:after="120" w:line="240" w:lineRule="auto"/>
        <w:jc w:val="both"/>
        <w:rPr>
          <w:color w:val="000000" w:themeColor="text1"/>
        </w:rPr>
      </w:pPr>
      <w:r w:rsidRPr="00184473">
        <w:rPr>
          <w:color w:val="000000" w:themeColor="text1"/>
        </w:rPr>
        <w:t xml:space="preserve">There is an opportunity </w:t>
      </w:r>
      <w:r w:rsidR="00EA6AFC">
        <w:rPr>
          <w:color w:val="000000" w:themeColor="text1"/>
        </w:rPr>
        <w:t>to position Victoria as a</w:t>
      </w:r>
      <w:r w:rsidRPr="00184473">
        <w:rPr>
          <w:color w:val="000000" w:themeColor="text1"/>
        </w:rPr>
        <w:t xml:space="preserve"> </w:t>
      </w:r>
      <w:r w:rsidR="00EA6AFC">
        <w:rPr>
          <w:color w:val="000000" w:themeColor="text1"/>
        </w:rPr>
        <w:t>national leader</w:t>
      </w:r>
      <w:r w:rsidRPr="00184473">
        <w:rPr>
          <w:color w:val="000000" w:themeColor="text1"/>
        </w:rPr>
        <w:t xml:space="preserve"> in many aspects of genomic healthcare</w:t>
      </w:r>
      <w:r w:rsidR="00EA6AFC">
        <w:rPr>
          <w:color w:val="000000" w:themeColor="text1"/>
        </w:rPr>
        <w:t>,</w:t>
      </w:r>
      <w:r w:rsidRPr="00184473">
        <w:rPr>
          <w:color w:val="000000" w:themeColor="text1"/>
        </w:rPr>
        <w:t xml:space="preserve"> including rapid translation to </w:t>
      </w:r>
      <w:r w:rsidR="00EA6AFC">
        <w:rPr>
          <w:color w:val="000000" w:themeColor="text1"/>
        </w:rPr>
        <w:t>healthcare</w:t>
      </w:r>
      <w:r w:rsidRPr="00184473">
        <w:rPr>
          <w:color w:val="000000" w:themeColor="text1"/>
        </w:rPr>
        <w:t xml:space="preserve"> </w:t>
      </w:r>
      <w:r w:rsidR="009A31B8" w:rsidRPr="00184473">
        <w:rPr>
          <w:color w:val="000000" w:themeColor="text1"/>
        </w:rPr>
        <w:t>practice</w:t>
      </w:r>
      <w:r w:rsidRPr="00184473">
        <w:rPr>
          <w:color w:val="000000" w:themeColor="text1"/>
        </w:rPr>
        <w:t xml:space="preserve">, </w:t>
      </w:r>
      <w:r w:rsidR="00EB7A29">
        <w:rPr>
          <w:color w:val="000000" w:themeColor="text1"/>
        </w:rPr>
        <w:t xml:space="preserve">pathogen genomics, </w:t>
      </w:r>
      <w:r w:rsidR="009A31B8" w:rsidRPr="00184473">
        <w:rPr>
          <w:color w:val="000000" w:themeColor="text1"/>
        </w:rPr>
        <w:t xml:space="preserve">resolution of ethical, legal and social </w:t>
      </w:r>
      <w:r w:rsidR="00EA6AFC">
        <w:rPr>
          <w:color w:val="000000" w:themeColor="text1"/>
        </w:rPr>
        <w:t>implications</w:t>
      </w:r>
      <w:r w:rsidR="009A31B8" w:rsidRPr="00184473">
        <w:rPr>
          <w:color w:val="000000" w:themeColor="text1"/>
        </w:rPr>
        <w:t xml:space="preserve"> </w:t>
      </w:r>
      <w:r w:rsidRPr="00184473">
        <w:rPr>
          <w:color w:val="000000" w:themeColor="text1"/>
        </w:rPr>
        <w:t xml:space="preserve">and </w:t>
      </w:r>
      <w:r w:rsidR="009A31B8" w:rsidRPr="00184473">
        <w:rPr>
          <w:color w:val="000000" w:themeColor="text1"/>
        </w:rPr>
        <w:t xml:space="preserve">strong </w:t>
      </w:r>
      <w:r w:rsidRPr="00184473">
        <w:rPr>
          <w:color w:val="000000" w:themeColor="text1"/>
        </w:rPr>
        <w:t xml:space="preserve">community </w:t>
      </w:r>
      <w:r w:rsidR="00EA6AFC">
        <w:rPr>
          <w:color w:val="000000" w:themeColor="text1"/>
        </w:rPr>
        <w:t>engagement.</w:t>
      </w:r>
    </w:p>
    <w:p w:rsidR="00867E69" w:rsidRDefault="00867E69" w:rsidP="009376BD">
      <w:pPr>
        <w:spacing w:after="120" w:line="240" w:lineRule="auto"/>
      </w:pPr>
    </w:p>
    <w:p w:rsidR="00284D0A" w:rsidRPr="00312C63" w:rsidRDefault="00E24B19" w:rsidP="00312C63">
      <w:pPr>
        <w:pStyle w:val="DHSNumberTex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Vignette 8</w:t>
      </w:r>
    </w:p>
    <w:p w:rsidR="00284D0A" w:rsidRPr="00BE0F99" w:rsidRDefault="00284D0A" w:rsidP="009376BD">
      <w:pPr>
        <w:pBdr>
          <w:top w:val="single" w:sz="4" w:space="1" w:color="auto"/>
          <w:left w:val="single" w:sz="4" w:space="4" w:color="auto"/>
          <w:bottom w:val="single" w:sz="4" w:space="1" w:color="auto"/>
          <w:right w:val="single" w:sz="4" w:space="4" w:color="auto"/>
        </w:pBdr>
        <w:spacing w:after="120" w:line="240" w:lineRule="auto"/>
        <w:jc w:val="both"/>
        <w:rPr>
          <w:rFonts w:cs="Arial"/>
          <w:szCs w:val="24"/>
        </w:rPr>
      </w:pPr>
      <w:r w:rsidRPr="00BE0F99">
        <w:rPr>
          <w:rFonts w:cs="Arial"/>
          <w:szCs w:val="24"/>
        </w:rPr>
        <w:t xml:space="preserve">A 47 year old woman with metastatic ovarian cancer was found to have a mutation in the BRCA1 gene.  Clinical trials are open for </w:t>
      </w:r>
      <w:r w:rsidR="00C7276D">
        <w:rPr>
          <w:rFonts w:cs="Arial"/>
          <w:szCs w:val="24"/>
        </w:rPr>
        <w:t xml:space="preserve">a class of drugs known as </w:t>
      </w:r>
      <w:r w:rsidRPr="00BE0F99">
        <w:rPr>
          <w:rFonts w:cs="Arial"/>
          <w:szCs w:val="24"/>
        </w:rPr>
        <w:t>PARP-inhibitor</w:t>
      </w:r>
      <w:r w:rsidR="00C7276D">
        <w:rPr>
          <w:rFonts w:cs="Arial"/>
          <w:szCs w:val="24"/>
        </w:rPr>
        <w:t>s</w:t>
      </w:r>
      <w:r w:rsidR="003D3D6F">
        <w:rPr>
          <w:rFonts w:cs="Arial"/>
          <w:szCs w:val="24"/>
        </w:rPr>
        <w:t>,</w:t>
      </w:r>
      <w:r w:rsidRPr="00BE0F99">
        <w:rPr>
          <w:rFonts w:cs="Arial"/>
          <w:szCs w:val="24"/>
        </w:rPr>
        <w:t xml:space="preserve"> which may be more effective in people with this </w:t>
      </w:r>
      <w:r w:rsidR="00C7276D">
        <w:rPr>
          <w:rFonts w:cs="Arial"/>
          <w:szCs w:val="24"/>
        </w:rPr>
        <w:t>gene mutation</w:t>
      </w:r>
      <w:r w:rsidRPr="00BE0F99">
        <w:rPr>
          <w:rFonts w:cs="Arial"/>
          <w:szCs w:val="24"/>
        </w:rPr>
        <w:t xml:space="preserve">.  </w:t>
      </w:r>
      <w:r w:rsidR="00C7276D">
        <w:rPr>
          <w:rFonts w:cs="Arial"/>
          <w:szCs w:val="24"/>
        </w:rPr>
        <w:t>These drugs are currently unavailable through the public health system in Australia but have been approved for some patients in the United States</w:t>
      </w:r>
      <w:r w:rsidR="00C7276D" w:rsidRPr="00BE0F99">
        <w:rPr>
          <w:rFonts w:cs="Arial"/>
          <w:szCs w:val="24"/>
        </w:rPr>
        <w:t>.</w:t>
      </w:r>
      <w:r w:rsidR="00C7276D">
        <w:rPr>
          <w:rFonts w:cs="Arial"/>
          <w:szCs w:val="24"/>
        </w:rPr>
        <w:t xml:space="preserve">  Identification of t</w:t>
      </w:r>
      <w:r w:rsidRPr="00BE0F99">
        <w:rPr>
          <w:rFonts w:cs="Arial"/>
          <w:szCs w:val="24"/>
        </w:rPr>
        <w:t xml:space="preserve">his </w:t>
      </w:r>
      <w:r w:rsidR="00F91867" w:rsidRPr="00BE0F99">
        <w:rPr>
          <w:rFonts w:cs="Arial"/>
          <w:szCs w:val="24"/>
        </w:rPr>
        <w:t xml:space="preserve">woman’s gene mutation allowed her to access </w:t>
      </w:r>
      <w:r w:rsidR="00C7276D">
        <w:rPr>
          <w:rFonts w:cs="Arial"/>
          <w:szCs w:val="24"/>
        </w:rPr>
        <w:t xml:space="preserve">to the drugs through a </w:t>
      </w:r>
      <w:r w:rsidRPr="00BE0F99">
        <w:rPr>
          <w:rFonts w:cs="Arial"/>
          <w:szCs w:val="24"/>
        </w:rPr>
        <w:t>clinical trial</w:t>
      </w:r>
      <w:r w:rsidR="00C7276D">
        <w:rPr>
          <w:rFonts w:cs="Arial"/>
          <w:szCs w:val="24"/>
        </w:rPr>
        <w:t xml:space="preserve"> </w:t>
      </w:r>
      <w:r w:rsidRPr="00BE0F99">
        <w:rPr>
          <w:rFonts w:cs="Arial"/>
          <w:szCs w:val="24"/>
        </w:rPr>
        <w:t xml:space="preserve">with hope of </w:t>
      </w:r>
      <w:r w:rsidR="00C7276D">
        <w:rPr>
          <w:rFonts w:cs="Arial"/>
          <w:szCs w:val="24"/>
        </w:rPr>
        <w:t xml:space="preserve">a </w:t>
      </w:r>
      <w:r w:rsidRPr="00BE0F99">
        <w:rPr>
          <w:rFonts w:cs="Arial"/>
          <w:szCs w:val="24"/>
        </w:rPr>
        <w:t>better outcome.</w:t>
      </w:r>
    </w:p>
    <w:p w:rsidR="00284D0A" w:rsidRPr="00921338" w:rsidRDefault="00284D0A" w:rsidP="00921338">
      <w:pPr>
        <w:spacing w:after="0" w:line="240" w:lineRule="auto"/>
        <w:rPr>
          <w:b/>
          <w:szCs w:val="24"/>
        </w:rPr>
      </w:pPr>
    </w:p>
    <w:p w:rsidR="00F91867" w:rsidRDefault="00592C77" w:rsidP="00921338">
      <w:pPr>
        <w:pBdr>
          <w:top w:val="single" w:sz="4" w:space="1" w:color="auto"/>
          <w:left w:val="single" w:sz="4" w:space="4" w:color="auto"/>
          <w:bottom w:val="single" w:sz="4" w:space="1" w:color="auto"/>
          <w:right w:val="single" w:sz="4" w:space="4" w:color="auto"/>
        </w:pBdr>
        <w:jc w:val="center"/>
        <w:rPr>
          <w:rFonts w:asciiTheme="majorHAnsi" w:eastAsiaTheme="majorEastAsia" w:hAnsiTheme="majorHAnsi" w:cstheme="majorBidi"/>
          <w:color w:val="17365D" w:themeColor="text2" w:themeShade="BF"/>
          <w:spacing w:val="5"/>
          <w:sz w:val="52"/>
          <w:szCs w:val="52"/>
          <w:lang w:val="en-US"/>
        </w:rPr>
      </w:pPr>
      <w:r>
        <w:rPr>
          <w:b/>
          <w:i/>
          <w:color w:val="000000" w:themeColor="text1"/>
        </w:rPr>
        <w:t xml:space="preserve">Q8. </w:t>
      </w:r>
      <w:r w:rsidR="008F4F64" w:rsidRPr="00921338">
        <w:rPr>
          <w:b/>
          <w:i/>
          <w:color w:val="000000" w:themeColor="text1"/>
        </w:rPr>
        <w:t>Are the proposed actions the right areas to achieve the vision or are there other actions of higher priority that should be considered?</w:t>
      </w:r>
      <w:bookmarkStart w:id="30" w:name="_Toc444585158"/>
    </w:p>
    <w:p w:rsidR="006A31BF" w:rsidRDefault="006A31BF" w:rsidP="00F854F3">
      <w:pPr>
        <w:pStyle w:val="Heading1"/>
        <w:spacing w:after="240"/>
      </w:pPr>
      <w:bookmarkStart w:id="31" w:name="_Toc458511951"/>
      <w:r>
        <w:lastRenderedPageBreak/>
        <w:t>Next Steps</w:t>
      </w:r>
      <w:bookmarkEnd w:id="30"/>
      <w:bookmarkEnd w:id="31"/>
    </w:p>
    <w:p w:rsidR="00286347" w:rsidRPr="00F854F3" w:rsidRDefault="00A56AAE" w:rsidP="00A56AAE">
      <w:pPr>
        <w:jc w:val="both"/>
        <w:rPr>
          <w:rFonts w:cs="Arial"/>
          <w:szCs w:val="24"/>
        </w:rPr>
      </w:pPr>
      <w:r w:rsidRPr="00F854F3">
        <w:rPr>
          <w:rFonts w:cs="Arial"/>
          <w:szCs w:val="24"/>
        </w:rPr>
        <w:t xml:space="preserve">The Victorian Government is committed to pursuing excellence in care in partnership with patients, communities and service providers. </w:t>
      </w:r>
      <w:r w:rsidR="00243D1A">
        <w:rPr>
          <w:rFonts w:cs="Arial"/>
          <w:szCs w:val="24"/>
        </w:rPr>
        <w:t xml:space="preserve"> </w:t>
      </w:r>
      <w:r w:rsidRPr="00F854F3">
        <w:rPr>
          <w:rFonts w:cs="Arial"/>
          <w:szCs w:val="24"/>
        </w:rPr>
        <w:t xml:space="preserve">Discussion points and </w:t>
      </w:r>
      <w:r w:rsidR="000346A9" w:rsidRPr="00E9676C">
        <w:rPr>
          <w:rFonts w:cs="Arial"/>
          <w:szCs w:val="24"/>
        </w:rPr>
        <w:t>vignettes</w:t>
      </w:r>
      <w:r w:rsidRPr="00F854F3">
        <w:rPr>
          <w:rFonts w:cs="Arial"/>
          <w:szCs w:val="24"/>
        </w:rPr>
        <w:t xml:space="preserve"> have been provided to illustrate some of the issues and complexities in the field of genomic healthc</w:t>
      </w:r>
      <w:r w:rsidR="00286347" w:rsidRPr="00F854F3">
        <w:rPr>
          <w:rFonts w:cs="Arial"/>
          <w:szCs w:val="24"/>
        </w:rPr>
        <w:t>are.</w:t>
      </w:r>
    </w:p>
    <w:p w:rsidR="00A56AAE" w:rsidRPr="00F854F3" w:rsidRDefault="009D223B" w:rsidP="00A56AAE">
      <w:pPr>
        <w:jc w:val="both"/>
        <w:rPr>
          <w:rFonts w:cs="Arial"/>
          <w:szCs w:val="24"/>
        </w:rPr>
      </w:pPr>
      <w:r>
        <w:rPr>
          <w:rFonts w:cs="Arial"/>
          <w:szCs w:val="24"/>
        </w:rPr>
        <w:t>The Department of Health and Human Services</w:t>
      </w:r>
      <w:r w:rsidRPr="00F854F3">
        <w:rPr>
          <w:rFonts w:cs="Arial"/>
          <w:szCs w:val="24"/>
        </w:rPr>
        <w:t xml:space="preserve"> </w:t>
      </w:r>
      <w:r w:rsidR="00A56AAE" w:rsidRPr="00F854F3">
        <w:rPr>
          <w:rFonts w:cs="Arial"/>
          <w:szCs w:val="24"/>
        </w:rPr>
        <w:t>seek</w:t>
      </w:r>
      <w:r>
        <w:rPr>
          <w:rFonts w:cs="Arial"/>
          <w:szCs w:val="24"/>
        </w:rPr>
        <w:t>s</w:t>
      </w:r>
      <w:r w:rsidR="00A56AAE" w:rsidRPr="00F854F3">
        <w:rPr>
          <w:rFonts w:cs="Arial"/>
          <w:szCs w:val="24"/>
        </w:rPr>
        <w:t xml:space="preserve"> feedback </w:t>
      </w:r>
      <w:r w:rsidR="00B120E4">
        <w:rPr>
          <w:rFonts w:cs="Arial"/>
          <w:szCs w:val="24"/>
        </w:rPr>
        <w:t>on</w:t>
      </w:r>
      <w:r w:rsidR="00226B18">
        <w:rPr>
          <w:rFonts w:cs="Arial"/>
          <w:szCs w:val="24"/>
        </w:rPr>
        <w:t xml:space="preserve"> the content of, and questions in, this discussion paper</w:t>
      </w:r>
      <w:r w:rsidR="00A56AAE" w:rsidRPr="00F854F3">
        <w:rPr>
          <w:rFonts w:cs="Arial"/>
          <w:szCs w:val="24"/>
        </w:rPr>
        <w:t xml:space="preserve">. </w:t>
      </w:r>
      <w:r w:rsidR="00243D1A">
        <w:rPr>
          <w:rFonts w:cs="Arial"/>
          <w:szCs w:val="24"/>
        </w:rPr>
        <w:t xml:space="preserve"> </w:t>
      </w:r>
      <w:r w:rsidR="00050AAA">
        <w:rPr>
          <w:rFonts w:cs="Arial"/>
          <w:szCs w:val="24"/>
        </w:rPr>
        <w:t>Your feedback will inform the development of a</w:t>
      </w:r>
      <w:r w:rsidR="00050AAA" w:rsidRPr="00050AAA">
        <w:rPr>
          <w:rFonts w:cs="Arial"/>
          <w:szCs w:val="24"/>
        </w:rPr>
        <w:t xml:space="preserve"> </w:t>
      </w:r>
      <w:r w:rsidR="00050AAA">
        <w:rPr>
          <w:rFonts w:cs="Arial"/>
          <w:szCs w:val="24"/>
        </w:rPr>
        <w:t>framework for genomic</w:t>
      </w:r>
      <w:r>
        <w:rPr>
          <w:rFonts w:cs="Arial"/>
          <w:szCs w:val="24"/>
        </w:rPr>
        <w:t xml:space="preserve"> healthcare</w:t>
      </w:r>
      <w:r w:rsidR="00050AAA">
        <w:rPr>
          <w:rFonts w:cs="Arial"/>
          <w:szCs w:val="24"/>
        </w:rPr>
        <w:t xml:space="preserve"> in Victoria.  </w:t>
      </w:r>
      <w:r w:rsidR="00050AAA" w:rsidRPr="003D3184">
        <w:rPr>
          <w:rFonts w:cs="Arial"/>
          <w:szCs w:val="24"/>
        </w:rPr>
        <w:t xml:space="preserve">The </w:t>
      </w:r>
      <w:r w:rsidR="00243D1A" w:rsidRPr="003D3184">
        <w:rPr>
          <w:rFonts w:cs="Arial"/>
          <w:szCs w:val="24"/>
        </w:rPr>
        <w:t xml:space="preserve">framework </w:t>
      </w:r>
      <w:r w:rsidR="00A56AAE" w:rsidRPr="003D3184">
        <w:rPr>
          <w:rFonts w:cs="Arial"/>
          <w:szCs w:val="24"/>
        </w:rPr>
        <w:t>is expect</w:t>
      </w:r>
      <w:r w:rsidR="00286347" w:rsidRPr="003D3184">
        <w:rPr>
          <w:rFonts w:cs="Arial"/>
          <w:szCs w:val="24"/>
        </w:rPr>
        <w:t xml:space="preserve">ed to be completed by </w:t>
      </w:r>
      <w:r w:rsidR="00243D1A" w:rsidRPr="003D3184">
        <w:rPr>
          <w:rFonts w:cs="Arial"/>
          <w:szCs w:val="24"/>
        </w:rPr>
        <w:t xml:space="preserve">late </w:t>
      </w:r>
      <w:r w:rsidR="00286347" w:rsidRPr="003D3184">
        <w:rPr>
          <w:rFonts w:cs="Arial"/>
          <w:szCs w:val="24"/>
        </w:rPr>
        <w:t>2016</w:t>
      </w:r>
      <w:r w:rsidR="00A56AAE" w:rsidRPr="003D3184">
        <w:rPr>
          <w:rFonts w:cs="Arial"/>
          <w:szCs w:val="24"/>
        </w:rPr>
        <w:t xml:space="preserve">. </w:t>
      </w:r>
      <w:r w:rsidR="00243D1A" w:rsidRPr="003D3184">
        <w:rPr>
          <w:rFonts w:cs="Arial"/>
          <w:szCs w:val="24"/>
        </w:rPr>
        <w:t xml:space="preserve"> </w:t>
      </w:r>
      <w:r w:rsidR="00A56AAE" w:rsidRPr="003D3184">
        <w:rPr>
          <w:rFonts w:cs="Arial"/>
          <w:szCs w:val="24"/>
        </w:rPr>
        <w:t xml:space="preserve">To ensure this happens, we request your feedback by </w:t>
      </w:r>
      <w:r w:rsidR="003D3184" w:rsidRPr="003D3184">
        <w:rPr>
          <w:rFonts w:cs="Arial"/>
          <w:b/>
          <w:szCs w:val="24"/>
        </w:rPr>
        <w:t>Friday 9 September</w:t>
      </w:r>
      <w:r w:rsidR="00286347" w:rsidRPr="003D3184">
        <w:rPr>
          <w:rFonts w:cs="Arial"/>
          <w:b/>
          <w:szCs w:val="24"/>
        </w:rPr>
        <w:t xml:space="preserve"> 2016</w:t>
      </w:r>
      <w:r w:rsidR="00286347" w:rsidRPr="003D3184">
        <w:rPr>
          <w:rFonts w:cs="Arial"/>
          <w:szCs w:val="24"/>
        </w:rPr>
        <w:t>.</w:t>
      </w:r>
    </w:p>
    <w:p w:rsidR="00A56AAE" w:rsidRPr="00F854F3" w:rsidRDefault="00A56AAE" w:rsidP="00A56AAE">
      <w:pPr>
        <w:jc w:val="both"/>
        <w:rPr>
          <w:rFonts w:cs="Arial"/>
          <w:szCs w:val="24"/>
        </w:rPr>
      </w:pPr>
      <w:r w:rsidRPr="00F854F3">
        <w:rPr>
          <w:rFonts w:cs="Arial"/>
          <w:szCs w:val="24"/>
        </w:rPr>
        <w:t xml:space="preserve">You can provide </w:t>
      </w:r>
      <w:r w:rsidR="009D223B">
        <w:rPr>
          <w:rFonts w:cs="Arial"/>
          <w:szCs w:val="24"/>
        </w:rPr>
        <w:t>feedback, using the template provided,</w:t>
      </w:r>
      <w:r w:rsidRPr="00F854F3">
        <w:rPr>
          <w:rFonts w:cs="Arial"/>
          <w:szCs w:val="24"/>
        </w:rPr>
        <w:t xml:space="preserve"> in the following ways</w:t>
      </w:r>
      <w:r w:rsidR="00286347" w:rsidRPr="00F854F3">
        <w:rPr>
          <w:rFonts w:cs="Arial"/>
          <w:szCs w:val="24"/>
        </w:rPr>
        <w:t>:</w:t>
      </w:r>
    </w:p>
    <w:p w:rsidR="00A56AAE" w:rsidRPr="00F854F3" w:rsidRDefault="00A56AAE" w:rsidP="00A56AAE">
      <w:pPr>
        <w:contextualSpacing/>
        <w:jc w:val="both"/>
        <w:rPr>
          <w:rFonts w:cs="Arial"/>
          <w:szCs w:val="24"/>
        </w:rPr>
      </w:pPr>
      <w:r w:rsidRPr="00F854F3">
        <w:rPr>
          <w:rFonts w:cs="Arial"/>
          <w:szCs w:val="24"/>
        </w:rPr>
        <w:t xml:space="preserve">Mail: </w:t>
      </w:r>
      <w:r w:rsidR="00286347" w:rsidRPr="00F854F3">
        <w:rPr>
          <w:rFonts w:cs="Arial"/>
          <w:szCs w:val="24"/>
        </w:rPr>
        <w:tab/>
        <w:t>Genetics and Health Technology</w:t>
      </w:r>
    </w:p>
    <w:p w:rsidR="00286347" w:rsidRPr="00F854F3" w:rsidRDefault="00286347" w:rsidP="00A56AAE">
      <w:pPr>
        <w:contextualSpacing/>
        <w:jc w:val="both"/>
        <w:rPr>
          <w:rFonts w:cs="Arial"/>
          <w:szCs w:val="24"/>
        </w:rPr>
      </w:pPr>
      <w:r w:rsidRPr="00F854F3">
        <w:rPr>
          <w:rFonts w:cs="Arial"/>
          <w:szCs w:val="24"/>
        </w:rPr>
        <w:tab/>
        <w:t>Department of Health and Human Services</w:t>
      </w:r>
    </w:p>
    <w:p w:rsidR="00286347" w:rsidRPr="00F854F3" w:rsidRDefault="00286347" w:rsidP="00A56AAE">
      <w:pPr>
        <w:contextualSpacing/>
        <w:jc w:val="both"/>
        <w:rPr>
          <w:rFonts w:cs="Arial"/>
          <w:szCs w:val="24"/>
        </w:rPr>
      </w:pPr>
      <w:r w:rsidRPr="00F854F3">
        <w:rPr>
          <w:rFonts w:cs="Arial"/>
          <w:szCs w:val="24"/>
        </w:rPr>
        <w:tab/>
        <w:t>GPO Box 4057</w:t>
      </w:r>
    </w:p>
    <w:p w:rsidR="00286347" w:rsidRPr="00F854F3" w:rsidRDefault="00286347" w:rsidP="00A56AAE">
      <w:pPr>
        <w:contextualSpacing/>
        <w:jc w:val="both"/>
        <w:rPr>
          <w:rFonts w:cs="Arial"/>
          <w:szCs w:val="24"/>
        </w:rPr>
      </w:pPr>
      <w:r w:rsidRPr="00F854F3">
        <w:rPr>
          <w:rFonts w:cs="Arial"/>
          <w:szCs w:val="24"/>
        </w:rPr>
        <w:tab/>
      </w:r>
      <w:r w:rsidR="00E111EE" w:rsidRPr="00E111EE">
        <w:rPr>
          <w:rFonts w:cs="Arial"/>
          <w:szCs w:val="24"/>
        </w:rPr>
        <w:t xml:space="preserve">MELBOURNE </w:t>
      </w:r>
      <w:r w:rsidRPr="00F854F3">
        <w:rPr>
          <w:rFonts w:cs="Arial"/>
          <w:szCs w:val="24"/>
        </w:rPr>
        <w:t>V</w:t>
      </w:r>
      <w:r w:rsidR="00E111EE">
        <w:rPr>
          <w:rFonts w:cs="Arial"/>
          <w:szCs w:val="24"/>
        </w:rPr>
        <w:t>IC</w:t>
      </w:r>
      <w:r w:rsidRPr="00F854F3">
        <w:rPr>
          <w:rFonts w:cs="Arial"/>
          <w:szCs w:val="24"/>
        </w:rPr>
        <w:t xml:space="preserve"> 3001</w:t>
      </w:r>
    </w:p>
    <w:p w:rsidR="00A56AAE" w:rsidRPr="00F854F3" w:rsidRDefault="00A56AAE" w:rsidP="00A56AAE">
      <w:pPr>
        <w:jc w:val="both"/>
        <w:rPr>
          <w:rFonts w:cs="Arial"/>
          <w:szCs w:val="24"/>
        </w:rPr>
      </w:pPr>
    </w:p>
    <w:p w:rsidR="00A56AAE" w:rsidRPr="00F854F3" w:rsidRDefault="00A56AAE" w:rsidP="00A56AAE">
      <w:pPr>
        <w:jc w:val="both"/>
        <w:rPr>
          <w:rFonts w:cs="Arial"/>
          <w:szCs w:val="24"/>
        </w:rPr>
      </w:pPr>
      <w:r w:rsidRPr="00F854F3">
        <w:rPr>
          <w:rFonts w:cs="Arial"/>
          <w:szCs w:val="24"/>
        </w:rPr>
        <w:t>Email:</w:t>
      </w:r>
      <w:r w:rsidR="00243D1A">
        <w:rPr>
          <w:rFonts w:cs="Arial"/>
          <w:szCs w:val="24"/>
        </w:rPr>
        <w:tab/>
      </w:r>
      <w:hyperlink r:id="rId11" w:history="1">
        <w:r w:rsidR="001625DE" w:rsidRPr="00B60AA0">
          <w:rPr>
            <w:rStyle w:val="Hyperlink"/>
            <w:rFonts w:cs="Arial"/>
            <w:szCs w:val="24"/>
          </w:rPr>
          <w:t>genetics@dhs.vic.gov.au</w:t>
        </w:r>
      </w:hyperlink>
      <w:r w:rsidR="00243D1A">
        <w:rPr>
          <w:rFonts w:cs="Arial"/>
          <w:szCs w:val="24"/>
        </w:rPr>
        <w:t xml:space="preserve"> </w:t>
      </w:r>
    </w:p>
    <w:p w:rsidR="00A56AAE" w:rsidRPr="00F854F3" w:rsidRDefault="00243D1A" w:rsidP="00A56AAE">
      <w:pPr>
        <w:jc w:val="both"/>
        <w:rPr>
          <w:rFonts w:cs="Arial"/>
          <w:szCs w:val="24"/>
        </w:rPr>
      </w:pPr>
      <w:r>
        <w:rPr>
          <w:rFonts w:cs="Arial"/>
          <w:szCs w:val="24"/>
        </w:rPr>
        <w:t>Phone:</w:t>
      </w:r>
      <w:r>
        <w:rPr>
          <w:rFonts w:cs="Arial"/>
          <w:szCs w:val="24"/>
        </w:rPr>
        <w:tab/>
        <w:t>(03) 9096 6126</w:t>
      </w:r>
    </w:p>
    <w:p w:rsidR="00A56AAE" w:rsidRPr="00F854F3" w:rsidRDefault="00A56AAE" w:rsidP="00A56AAE">
      <w:pPr>
        <w:jc w:val="both"/>
        <w:rPr>
          <w:rFonts w:cs="Arial"/>
          <w:szCs w:val="24"/>
        </w:rPr>
      </w:pPr>
      <w:r w:rsidRPr="00F854F3">
        <w:rPr>
          <w:rFonts w:cs="Arial"/>
          <w:szCs w:val="24"/>
        </w:rPr>
        <w:t>Fax:</w:t>
      </w:r>
      <w:r w:rsidR="00286347" w:rsidRPr="00F854F3">
        <w:rPr>
          <w:rFonts w:cs="Arial"/>
          <w:szCs w:val="24"/>
        </w:rPr>
        <w:t xml:space="preserve"> </w:t>
      </w:r>
      <w:r w:rsidR="00243D1A">
        <w:rPr>
          <w:rFonts w:cs="Arial"/>
          <w:szCs w:val="24"/>
        </w:rPr>
        <w:tab/>
      </w:r>
      <w:r w:rsidR="00286347" w:rsidRPr="00F854F3">
        <w:rPr>
          <w:rFonts w:cs="Arial"/>
          <w:szCs w:val="24"/>
        </w:rPr>
        <w:t>(03) 9096 9115</w:t>
      </w:r>
    </w:p>
    <w:p w:rsidR="0054288F" w:rsidRDefault="00A56AAE" w:rsidP="00921338">
      <w:pPr>
        <w:jc w:val="both"/>
      </w:pPr>
      <w:r w:rsidRPr="00F854F3">
        <w:rPr>
          <w:rFonts w:cs="Arial"/>
          <w:szCs w:val="24"/>
        </w:rPr>
        <w:t>Website:</w:t>
      </w:r>
      <w:r w:rsidR="00AE34FB">
        <w:rPr>
          <w:rFonts w:cs="Arial"/>
          <w:szCs w:val="24"/>
        </w:rPr>
        <w:t xml:space="preserve"> </w:t>
      </w:r>
      <w:r w:rsidR="00AE34FB" w:rsidRPr="00AE34FB">
        <w:rPr>
          <w:rStyle w:val="Hyperlink"/>
        </w:rPr>
        <w:t>www2.health.vic.gov.au/hospitals-and-health-services/patient-care/speciality-diagnostics-therapeutics/genetic-services</w:t>
      </w:r>
    </w:p>
    <w:sectPr w:rsidR="0054288F" w:rsidSect="007F010A">
      <w:footerReference w:type="default" r:id="rId12"/>
      <w:pgSz w:w="11906" w:h="16838"/>
      <w:pgMar w:top="1134" w:right="1134" w:bottom="1134" w:left="1134" w:header="708" w:footer="42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69" w:rsidRDefault="003A6C69" w:rsidP="000A4E51">
      <w:pPr>
        <w:spacing w:after="0" w:line="240" w:lineRule="auto"/>
      </w:pPr>
      <w:r>
        <w:separator/>
      </w:r>
    </w:p>
  </w:endnote>
  <w:endnote w:type="continuationSeparator" w:id="0">
    <w:p w:rsidR="003A6C69" w:rsidRDefault="003A6C69" w:rsidP="000A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923189"/>
      <w:docPartObj>
        <w:docPartGallery w:val="Page Numbers (Bottom of Page)"/>
        <w:docPartUnique/>
      </w:docPartObj>
    </w:sdtPr>
    <w:sdtEndPr>
      <w:rPr>
        <w:noProof/>
      </w:rPr>
    </w:sdtEndPr>
    <w:sdtContent>
      <w:p w:rsidR="003A6C69" w:rsidRDefault="003A6C69">
        <w:pPr>
          <w:pStyle w:val="Footer"/>
          <w:jc w:val="right"/>
        </w:pPr>
        <w:r>
          <w:fldChar w:fldCharType="begin"/>
        </w:r>
        <w:r>
          <w:instrText xml:space="preserve"> PAGE   \* MERGEFORMAT </w:instrText>
        </w:r>
        <w:r>
          <w:fldChar w:fldCharType="separate"/>
        </w:r>
        <w:r w:rsidR="00534122">
          <w:rPr>
            <w:noProof/>
          </w:rPr>
          <w:t>1</w:t>
        </w:r>
        <w:r>
          <w:rPr>
            <w:noProof/>
          </w:rPr>
          <w:fldChar w:fldCharType="end"/>
        </w:r>
      </w:p>
    </w:sdtContent>
  </w:sdt>
  <w:p w:rsidR="003A6C69" w:rsidRDefault="003A6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69" w:rsidRDefault="003A6C69" w:rsidP="000A4E51">
      <w:pPr>
        <w:spacing w:after="0" w:line="240" w:lineRule="auto"/>
      </w:pPr>
      <w:r>
        <w:separator/>
      </w:r>
    </w:p>
  </w:footnote>
  <w:footnote w:type="continuationSeparator" w:id="0">
    <w:p w:rsidR="003A6C69" w:rsidRDefault="003A6C69" w:rsidP="000A4E51">
      <w:pPr>
        <w:spacing w:after="0" w:line="240" w:lineRule="auto"/>
      </w:pPr>
      <w:r>
        <w:continuationSeparator/>
      </w:r>
    </w:p>
  </w:footnote>
  <w:footnote w:id="1">
    <w:p w:rsidR="003A6C69" w:rsidRDefault="003A6C69">
      <w:pPr>
        <w:pStyle w:val="FootnoteText"/>
      </w:pPr>
      <w:r>
        <w:rPr>
          <w:rStyle w:val="FootnoteReference"/>
        </w:rPr>
        <w:footnoteRef/>
      </w:r>
      <w:r>
        <w:t xml:space="preserve"> </w:t>
      </w:r>
      <w:r w:rsidRPr="009376BD">
        <w:rPr>
          <w:sz w:val="18"/>
        </w:rPr>
        <w:t>‘Genome’ refers to the entire complement of an organism’s genetic material. ‘Genome’ and ‘genomic’ are used in this sense throughout this Discussion Paper.</w:t>
      </w:r>
    </w:p>
  </w:footnote>
  <w:footnote w:id="2">
    <w:p w:rsidR="003A6C69" w:rsidRDefault="003A6C69" w:rsidP="00921338">
      <w:pPr>
        <w:pStyle w:val="DHSNumberText"/>
        <w:numPr>
          <w:ilvl w:val="0"/>
          <w:numId w:val="0"/>
        </w:numPr>
        <w:rPr>
          <w:szCs w:val="24"/>
        </w:rPr>
      </w:pPr>
      <w:r>
        <w:rPr>
          <w:rStyle w:val="FootnoteReference"/>
        </w:rPr>
        <w:footnoteRef/>
      </w:r>
      <w:r>
        <w:t xml:space="preserve"> </w:t>
      </w:r>
      <w:r w:rsidRPr="009376BD">
        <w:rPr>
          <w:rFonts w:asciiTheme="minorHAnsi" w:hAnsiTheme="minorHAnsi"/>
          <w:sz w:val="18"/>
        </w:rPr>
        <w:t>Muin Khoury, From Precision Medicine to Precision Public Health: challenges and opportunities, 26 October 2015, Annual Population Health Science Colloquium, Stanford Medicine, USA</w:t>
      </w:r>
      <w:r w:rsidRPr="009376BD">
        <w:rPr>
          <w:rFonts w:asciiTheme="minorHAnsi" w:hAnsiTheme="minorHAnsi"/>
          <w:sz w:val="18"/>
          <w:szCs w:val="24"/>
        </w:rPr>
        <w:t xml:space="preserve">. </w:t>
      </w:r>
    </w:p>
  </w:footnote>
  <w:footnote w:id="3">
    <w:p w:rsidR="003A6C69" w:rsidRDefault="003A6C69">
      <w:pPr>
        <w:pStyle w:val="FootnoteText"/>
      </w:pPr>
      <w:r>
        <w:rPr>
          <w:rStyle w:val="FootnoteReference"/>
        </w:rPr>
        <w:footnoteRef/>
      </w:r>
      <w:r>
        <w:t xml:space="preserve"> </w:t>
      </w:r>
      <w:r w:rsidR="003D3184">
        <w:rPr>
          <w:sz w:val="18"/>
        </w:rPr>
        <w:t>T</w:t>
      </w:r>
      <w:r w:rsidRPr="009376BD">
        <w:rPr>
          <w:sz w:val="18"/>
        </w:rPr>
        <w:t>he workshop summary</w:t>
      </w:r>
      <w:r w:rsidR="003D3184">
        <w:rPr>
          <w:sz w:val="18"/>
        </w:rPr>
        <w:t xml:space="preserve"> is available </w:t>
      </w:r>
      <w:hyperlink r:id="rId1" w:history="1">
        <w:r w:rsidR="003D3184" w:rsidRPr="003D3184">
          <w:rPr>
            <w:rStyle w:val="Hyperlink"/>
            <w:sz w:val="18"/>
          </w:rPr>
          <w:t>here</w:t>
        </w:r>
      </w:hyperlink>
      <w:r>
        <w:t xml:space="preserve">. </w:t>
      </w:r>
    </w:p>
  </w:footnote>
  <w:footnote w:id="4">
    <w:p w:rsidR="003A6C69" w:rsidRDefault="003A6C69">
      <w:pPr>
        <w:pStyle w:val="FootnoteText"/>
      </w:pPr>
      <w:r>
        <w:rPr>
          <w:rStyle w:val="FootnoteReference"/>
        </w:rPr>
        <w:footnoteRef/>
      </w:r>
      <w:r>
        <w:t xml:space="preserve"> </w:t>
      </w:r>
      <w:r w:rsidRPr="009376BD">
        <w:rPr>
          <w:sz w:val="18"/>
        </w:rPr>
        <w:t xml:space="preserve">Personalised medicine is the capacity to predict disease development and influence decisions about lifestyle choices or to tailor medical practice to an individual. National Health and Hospitals Reform Commission. </w:t>
      </w:r>
      <w:r w:rsidRPr="009376BD">
        <w:rPr>
          <w:i/>
          <w:sz w:val="18"/>
        </w:rPr>
        <w:t>A healthier future for all Australians</w:t>
      </w:r>
      <w:r w:rsidRPr="009376BD">
        <w:rPr>
          <w:sz w:val="18"/>
        </w:rPr>
        <w:t>, June 2009.</w:t>
      </w:r>
    </w:p>
  </w:footnote>
  <w:footnote w:id="5">
    <w:p w:rsidR="003A6C69" w:rsidRDefault="003A6C69">
      <w:pPr>
        <w:pStyle w:val="FootnoteText"/>
      </w:pPr>
      <w:r>
        <w:rPr>
          <w:rStyle w:val="FootnoteReference"/>
        </w:rPr>
        <w:footnoteRef/>
      </w:r>
      <w:r>
        <w:t xml:space="preserve"> </w:t>
      </w:r>
      <w:r w:rsidRPr="009376BD">
        <w:rPr>
          <w:sz w:val="18"/>
        </w:rPr>
        <w:t>Co-productive healthcare – patients and professionals interact as participants within a healthcare system. Batalden et al. Coproduction of healthcare service, British Medical Journal Quality &amp; Safety Online, 16 Sept 2015.</w:t>
      </w:r>
    </w:p>
  </w:footnote>
  <w:footnote w:id="6">
    <w:p w:rsidR="003A6C69" w:rsidRPr="00921338" w:rsidRDefault="003A6C69" w:rsidP="001276B8">
      <w:pPr>
        <w:pStyle w:val="FootnoteText"/>
        <w:rPr>
          <w:sz w:val="18"/>
        </w:rPr>
      </w:pPr>
      <w:r w:rsidRPr="00921338">
        <w:rPr>
          <w:rStyle w:val="FootnoteReference"/>
          <w:sz w:val="18"/>
        </w:rPr>
        <w:footnoteRef/>
      </w:r>
      <w:r w:rsidRPr="00921338">
        <w:rPr>
          <w:sz w:val="18"/>
        </w:rPr>
        <w:t xml:space="preserve"> The USA uses a national public holiday when families congregate to encourage the collection of family medical history.</w:t>
      </w:r>
    </w:p>
  </w:footnote>
  <w:footnote w:id="7">
    <w:p w:rsidR="003A6C69" w:rsidRDefault="003A6C69">
      <w:pPr>
        <w:pStyle w:val="FootnoteText"/>
      </w:pPr>
      <w:r>
        <w:rPr>
          <w:rStyle w:val="FootnoteReference"/>
        </w:rPr>
        <w:footnoteRef/>
      </w:r>
      <w:r>
        <w:t xml:space="preserve"> </w:t>
      </w:r>
      <w:r w:rsidRPr="00921338">
        <w:rPr>
          <w:rFonts w:cs="Arial"/>
          <w:bCs/>
          <w:sz w:val="18"/>
        </w:rPr>
        <w:t>F</w:t>
      </w:r>
      <w:r w:rsidRPr="00921338">
        <w:rPr>
          <w:rFonts w:cs="Arial"/>
          <w:sz w:val="18"/>
        </w:rPr>
        <w:t xml:space="preserve">rom: Keogh </w:t>
      </w:r>
      <w:r w:rsidR="003E7EAB">
        <w:rPr>
          <w:rFonts w:cs="Arial"/>
          <w:sz w:val="18"/>
        </w:rPr>
        <w:t xml:space="preserve">et al. </w:t>
      </w:r>
      <w:r w:rsidR="003E7EAB" w:rsidRPr="00921338">
        <w:rPr>
          <w:rFonts w:cs="Arial"/>
          <w:i/>
          <w:sz w:val="18"/>
        </w:rPr>
        <w:t xml:space="preserve">Medical Journal of Australia </w:t>
      </w:r>
      <w:r w:rsidRPr="00921338">
        <w:rPr>
          <w:rFonts w:cs="Arial"/>
          <w:sz w:val="18"/>
        </w:rPr>
        <w:t>2013</w:t>
      </w:r>
      <w:r w:rsidR="003E7EAB">
        <w:rPr>
          <w:rFonts w:cs="Arial"/>
          <w:sz w:val="18"/>
        </w:rPr>
        <w:t>;</w:t>
      </w:r>
      <w:r w:rsidRPr="00921338">
        <w:rPr>
          <w:rFonts w:cs="Arial"/>
          <w:sz w:val="18"/>
        </w:rPr>
        <w:t>199(5)</w:t>
      </w:r>
      <w:r w:rsidR="003E7EAB">
        <w:rPr>
          <w:rFonts w:cs="Arial"/>
          <w:sz w:val="18"/>
        </w:rPr>
        <w:t>:</w:t>
      </w:r>
      <w:r w:rsidRPr="00921338">
        <w:rPr>
          <w:rFonts w:cs="Arial"/>
          <w:sz w:val="18"/>
        </w:rPr>
        <w:t>363</w:t>
      </w:r>
      <w:r w:rsidRPr="006E59DC">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0BB"/>
    <w:multiLevelType w:val="hybridMultilevel"/>
    <w:tmpl w:val="42CCF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40A72"/>
    <w:multiLevelType w:val="hybridMultilevel"/>
    <w:tmpl w:val="BF64E6DC"/>
    <w:lvl w:ilvl="0" w:tplc="B35C67DC">
      <w:start w:val="1"/>
      <w:numFmt w:val="decimal"/>
      <w:lvlText w:val="%1."/>
      <w:lvlJc w:val="left"/>
      <w:pPr>
        <w:ind w:left="360" w:hanging="360"/>
      </w:pPr>
      <w:rPr>
        <w:rFonts w:asciiTheme="minorHAnsi" w:hAnsiTheme="minorHAnsi" w:hint="default"/>
        <w:b w:val="0"/>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4742B62"/>
    <w:multiLevelType w:val="hybridMultilevel"/>
    <w:tmpl w:val="CDD4F4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E9F54E5"/>
    <w:multiLevelType w:val="hybridMultilevel"/>
    <w:tmpl w:val="3A4CD11C"/>
    <w:lvl w:ilvl="0" w:tplc="75443E9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D70CCF"/>
    <w:multiLevelType w:val="hybridMultilevel"/>
    <w:tmpl w:val="685C0276"/>
    <w:lvl w:ilvl="0" w:tplc="14E4BDA0">
      <w:start w:val="1"/>
      <w:numFmt w:val="decimal"/>
      <w:pStyle w:val="DHSNumberText"/>
      <w:lvlText w:val="%1."/>
      <w:lvlJc w:val="left"/>
      <w:pPr>
        <w:ind w:left="578" w:hanging="397"/>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start w:val="1"/>
      <w:numFmt w:val="decimal"/>
      <w:lvlText w:val="%4."/>
      <w:lvlJc w:val="left"/>
      <w:pPr>
        <w:ind w:left="3061" w:hanging="360"/>
      </w:pPr>
    </w:lvl>
    <w:lvl w:ilvl="4" w:tplc="04090019">
      <w:start w:val="1"/>
      <w:numFmt w:val="lowerLetter"/>
      <w:lvlText w:val="%5."/>
      <w:lvlJc w:val="left"/>
      <w:pPr>
        <w:ind w:left="3781" w:hanging="360"/>
      </w:pPr>
    </w:lvl>
    <w:lvl w:ilvl="5" w:tplc="0409001B">
      <w:start w:val="1"/>
      <w:numFmt w:val="lowerRoman"/>
      <w:lvlText w:val="%6."/>
      <w:lvlJc w:val="right"/>
      <w:pPr>
        <w:ind w:left="4501" w:hanging="180"/>
      </w:pPr>
    </w:lvl>
    <w:lvl w:ilvl="6" w:tplc="0409000F">
      <w:start w:val="1"/>
      <w:numFmt w:val="decimal"/>
      <w:lvlText w:val="%7."/>
      <w:lvlJc w:val="left"/>
      <w:pPr>
        <w:ind w:left="5221" w:hanging="360"/>
      </w:pPr>
    </w:lvl>
    <w:lvl w:ilvl="7" w:tplc="04090019">
      <w:start w:val="1"/>
      <w:numFmt w:val="lowerLetter"/>
      <w:lvlText w:val="%8."/>
      <w:lvlJc w:val="left"/>
      <w:pPr>
        <w:ind w:left="5941" w:hanging="360"/>
      </w:pPr>
    </w:lvl>
    <w:lvl w:ilvl="8" w:tplc="0409001B">
      <w:start w:val="1"/>
      <w:numFmt w:val="lowerRoman"/>
      <w:lvlText w:val="%9."/>
      <w:lvlJc w:val="right"/>
      <w:pPr>
        <w:ind w:left="6661" w:hanging="180"/>
      </w:pPr>
    </w:lvl>
  </w:abstractNum>
  <w:abstractNum w:abstractNumId="5">
    <w:nsid w:val="3DB15DD3"/>
    <w:multiLevelType w:val="hybridMultilevel"/>
    <w:tmpl w:val="4DC26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406B35"/>
    <w:multiLevelType w:val="hybridMultilevel"/>
    <w:tmpl w:val="1EFAD412"/>
    <w:lvl w:ilvl="0" w:tplc="3932A20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EE1234"/>
    <w:multiLevelType w:val="hybridMultilevel"/>
    <w:tmpl w:val="F500B472"/>
    <w:lvl w:ilvl="0" w:tplc="40B0358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97F2E96"/>
    <w:multiLevelType w:val="hybridMultilevel"/>
    <w:tmpl w:val="CDD4F4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2DA0C31"/>
    <w:multiLevelType w:val="hybridMultilevel"/>
    <w:tmpl w:val="7E1C7C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4D91E30"/>
    <w:multiLevelType w:val="hybridMultilevel"/>
    <w:tmpl w:val="E82EE4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8A55654"/>
    <w:multiLevelType w:val="hybridMultilevel"/>
    <w:tmpl w:val="C478B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0943D2"/>
    <w:multiLevelType w:val="hybridMultilevel"/>
    <w:tmpl w:val="2C7008F4"/>
    <w:lvl w:ilvl="0" w:tplc="DCE28B3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3012FF2"/>
    <w:multiLevelType w:val="hybridMultilevel"/>
    <w:tmpl w:val="3B8E2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416AC4"/>
    <w:multiLevelType w:val="hybridMultilevel"/>
    <w:tmpl w:val="699287D2"/>
    <w:lvl w:ilvl="0" w:tplc="3A0C349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11"/>
  </w:num>
  <w:num w:numId="23">
    <w:abstractNumId w:val="9"/>
  </w:num>
  <w:num w:numId="24">
    <w:abstractNumId w:val="3"/>
  </w:num>
  <w:num w:numId="25">
    <w:abstractNumId w:val="1"/>
  </w:num>
  <w:num w:numId="26">
    <w:abstractNumId w:val="7"/>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A9"/>
    <w:rsid w:val="00000582"/>
    <w:rsid w:val="000211FB"/>
    <w:rsid w:val="00033070"/>
    <w:rsid w:val="000333D8"/>
    <w:rsid w:val="000346A9"/>
    <w:rsid w:val="000372E1"/>
    <w:rsid w:val="00041579"/>
    <w:rsid w:val="00050AAA"/>
    <w:rsid w:val="000511D6"/>
    <w:rsid w:val="00062B15"/>
    <w:rsid w:val="00064B91"/>
    <w:rsid w:val="000764AB"/>
    <w:rsid w:val="00076F11"/>
    <w:rsid w:val="00083F3D"/>
    <w:rsid w:val="000843A2"/>
    <w:rsid w:val="00093ADF"/>
    <w:rsid w:val="000A2040"/>
    <w:rsid w:val="000A4E51"/>
    <w:rsid w:val="000B4229"/>
    <w:rsid w:val="000C25D5"/>
    <w:rsid w:val="000F49A9"/>
    <w:rsid w:val="00124042"/>
    <w:rsid w:val="001276B8"/>
    <w:rsid w:val="00141D45"/>
    <w:rsid w:val="00146718"/>
    <w:rsid w:val="00151D4D"/>
    <w:rsid w:val="00154E4C"/>
    <w:rsid w:val="001563D4"/>
    <w:rsid w:val="00156654"/>
    <w:rsid w:val="00160100"/>
    <w:rsid w:val="00161B0E"/>
    <w:rsid w:val="001625DE"/>
    <w:rsid w:val="00163E77"/>
    <w:rsid w:val="001804BB"/>
    <w:rsid w:val="00182CF6"/>
    <w:rsid w:val="00184473"/>
    <w:rsid w:val="00184A59"/>
    <w:rsid w:val="00184C83"/>
    <w:rsid w:val="001879E5"/>
    <w:rsid w:val="00194715"/>
    <w:rsid w:val="001A3ED7"/>
    <w:rsid w:val="001B3B3D"/>
    <w:rsid w:val="001D3B96"/>
    <w:rsid w:val="001E24D6"/>
    <w:rsid w:val="001F4E20"/>
    <w:rsid w:val="001F7EAF"/>
    <w:rsid w:val="002072BD"/>
    <w:rsid w:val="00212F99"/>
    <w:rsid w:val="002146FA"/>
    <w:rsid w:val="00220301"/>
    <w:rsid w:val="00226B18"/>
    <w:rsid w:val="002348F1"/>
    <w:rsid w:val="00241B6B"/>
    <w:rsid w:val="00243D1A"/>
    <w:rsid w:val="00244EEB"/>
    <w:rsid w:val="0024597A"/>
    <w:rsid w:val="0025022B"/>
    <w:rsid w:val="00255C9E"/>
    <w:rsid w:val="00262E6B"/>
    <w:rsid w:val="002640B0"/>
    <w:rsid w:val="00266A58"/>
    <w:rsid w:val="0027154D"/>
    <w:rsid w:val="00284D0A"/>
    <w:rsid w:val="00286347"/>
    <w:rsid w:val="00287B20"/>
    <w:rsid w:val="002954A4"/>
    <w:rsid w:val="00296FA8"/>
    <w:rsid w:val="002A1AE8"/>
    <w:rsid w:val="002A7045"/>
    <w:rsid w:val="002B5F61"/>
    <w:rsid w:val="002C01E3"/>
    <w:rsid w:val="002C1C2D"/>
    <w:rsid w:val="002D3058"/>
    <w:rsid w:val="002E7231"/>
    <w:rsid w:val="0030007D"/>
    <w:rsid w:val="00300B9F"/>
    <w:rsid w:val="003014DB"/>
    <w:rsid w:val="003042B2"/>
    <w:rsid w:val="00312C63"/>
    <w:rsid w:val="00313FBF"/>
    <w:rsid w:val="00314268"/>
    <w:rsid w:val="00315D84"/>
    <w:rsid w:val="00330530"/>
    <w:rsid w:val="00333468"/>
    <w:rsid w:val="00333D14"/>
    <w:rsid w:val="00341F3D"/>
    <w:rsid w:val="0035012D"/>
    <w:rsid w:val="00363B7D"/>
    <w:rsid w:val="003721F7"/>
    <w:rsid w:val="00380248"/>
    <w:rsid w:val="00381D4C"/>
    <w:rsid w:val="00382133"/>
    <w:rsid w:val="003822BC"/>
    <w:rsid w:val="00386A0F"/>
    <w:rsid w:val="003919DE"/>
    <w:rsid w:val="00391FEF"/>
    <w:rsid w:val="0039556B"/>
    <w:rsid w:val="00396410"/>
    <w:rsid w:val="003A6C69"/>
    <w:rsid w:val="003B4233"/>
    <w:rsid w:val="003C3FE2"/>
    <w:rsid w:val="003C4706"/>
    <w:rsid w:val="003C741B"/>
    <w:rsid w:val="003D3184"/>
    <w:rsid w:val="003D3D6F"/>
    <w:rsid w:val="003D61E0"/>
    <w:rsid w:val="003D6B51"/>
    <w:rsid w:val="003E7EAB"/>
    <w:rsid w:val="003F03EE"/>
    <w:rsid w:val="003F1288"/>
    <w:rsid w:val="003F13CD"/>
    <w:rsid w:val="003F2322"/>
    <w:rsid w:val="003F74C6"/>
    <w:rsid w:val="00400280"/>
    <w:rsid w:val="00407DE2"/>
    <w:rsid w:val="00410149"/>
    <w:rsid w:val="004120E2"/>
    <w:rsid w:val="00423502"/>
    <w:rsid w:val="00425865"/>
    <w:rsid w:val="00430D36"/>
    <w:rsid w:val="00440AAD"/>
    <w:rsid w:val="004451F8"/>
    <w:rsid w:val="00450743"/>
    <w:rsid w:val="00460D6B"/>
    <w:rsid w:val="00461029"/>
    <w:rsid w:val="00461EFB"/>
    <w:rsid w:val="00466CEB"/>
    <w:rsid w:val="00471D03"/>
    <w:rsid w:val="00480596"/>
    <w:rsid w:val="0048554B"/>
    <w:rsid w:val="00486C74"/>
    <w:rsid w:val="004A2D7F"/>
    <w:rsid w:val="004C03CC"/>
    <w:rsid w:val="004D28AD"/>
    <w:rsid w:val="004D40DF"/>
    <w:rsid w:val="004D6DB2"/>
    <w:rsid w:val="004E429C"/>
    <w:rsid w:val="005010C5"/>
    <w:rsid w:val="00502026"/>
    <w:rsid w:val="005074BE"/>
    <w:rsid w:val="005114C5"/>
    <w:rsid w:val="0052651D"/>
    <w:rsid w:val="00527A50"/>
    <w:rsid w:val="00534122"/>
    <w:rsid w:val="00534C5A"/>
    <w:rsid w:val="00541773"/>
    <w:rsid w:val="0054288F"/>
    <w:rsid w:val="00545261"/>
    <w:rsid w:val="0055126A"/>
    <w:rsid w:val="00551E3D"/>
    <w:rsid w:val="00553B32"/>
    <w:rsid w:val="005639DA"/>
    <w:rsid w:val="00571833"/>
    <w:rsid w:val="00582EB5"/>
    <w:rsid w:val="00587721"/>
    <w:rsid w:val="00592C77"/>
    <w:rsid w:val="00594A2D"/>
    <w:rsid w:val="0059526C"/>
    <w:rsid w:val="005975EF"/>
    <w:rsid w:val="005A2810"/>
    <w:rsid w:val="005A46BE"/>
    <w:rsid w:val="005A5AA9"/>
    <w:rsid w:val="005A6A95"/>
    <w:rsid w:val="005B3441"/>
    <w:rsid w:val="005B3C98"/>
    <w:rsid w:val="005C3DAC"/>
    <w:rsid w:val="005D044A"/>
    <w:rsid w:val="005D2B27"/>
    <w:rsid w:val="005D6C23"/>
    <w:rsid w:val="005F7972"/>
    <w:rsid w:val="006028D4"/>
    <w:rsid w:val="0062052B"/>
    <w:rsid w:val="00621F56"/>
    <w:rsid w:val="00627B28"/>
    <w:rsid w:val="00633993"/>
    <w:rsid w:val="00636AF8"/>
    <w:rsid w:val="00637A61"/>
    <w:rsid w:val="006445BD"/>
    <w:rsid w:val="00650390"/>
    <w:rsid w:val="00655253"/>
    <w:rsid w:val="006602E7"/>
    <w:rsid w:val="00664034"/>
    <w:rsid w:val="0066756A"/>
    <w:rsid w:val="00670B13"/>
    <w:rsid w:val="00671E61"/>
    <w:rsid w:val="00676951"/>
    <w:rsid w:val="00680706"/>
    <w:rsid w:val="00693A30"/>
    <w:rsid w:val="0069459C"/>
    <w:rsid w:val="006A31BF"/>
    <w:rsid w:val="006B00C8"/>
    <w:rsid w:val="006B2845"/>
    <w:rsid w:val="006B4C2B"/>
    <w:rsid w:val="006C4BB2"/>
    <w:rsid w:val="006D34F5"/>
    <w:rsid w:val="006D4EAA"/>
    <w:rsid w:val="006D5BB0"/>
    <w:rsid w:val="006E41A7"/>
    <w:rsid w:val="006E4917"/>
    <w:rsid w:val="006E59DC"/>
    <w:rsid w:val="00701BE0"/>
    <w:rsid w:val="00713B3F"/>
    <w:rsid w:val="00715B8E"/>
    <w:rsid w:val="00722278"/>
    <w:rsid w:val="00722664"/>
    <w:rsid w:val="00744849"/>
    <w:rsid w:val="00755650"/>
    <w:rsid w:val="0075572B"/>
    <w:rsid w:val="00763D92"/>
    <w:rsid w:val="00767D68"/>
    <w:rsid w:val="00772F90"/>
    <w:rsid w:val="007755BE"/>
    <w:rsid w:val="007900A5"/>
    <w:rsid w:val="00793936"/>
    <w:rsid w:val="00796497"/>
    <w:rsid w:val="00797749"/>
    <w:rsid w:val="007A74A1"/>
    <w:rsid w:val="007B6DE0"/>
    <w:rsid w:val="007C350C"/>
    <w:rsid w:val="007C5DF7"/>
    <w:rsid w:val="007D200E"/>
    <w:rsid w:val="007D4262"/>
    <w:rsid w:val="007D5053"/>
    <w:rsid w:val="007D635D"/>
    <w:rsid w:val="007D6FFA"/>
    <w:rsid w:val="007E2EBD"/>
    <w:rsid w:val="007E39B5"/>
    <w:rsid w:val="007E4485"/>
    <w:rsid w:val="007E4917"/>
    <w:rsid w:val="007F010A"/>
    <w:rsid w:val="00813DDC"/>
    <w:rsid w:val="00815046"/>
    <w:rsid w:val="008209B6"/>
    <w:rsid w:val="00822560"/>
    <w:rsid w:val="00823C89"/>
    <w:rsid w:val="00825E8F"/>
    <w:rsid w:val="00833C00"/>
    <w:rsid w:val="00833CDF"/>
    <w:rsid w:val="008348CB"/>
    <w:rsid w:val="00845BAD"/>
    <w:rsid w:val="008479EA"/>
    <w:rsid w:val="00852FF0"/>
    <w:rsid w:val="00855B34"/>
    <w:rsid w:val="008618D0"/>
    <w:rsid w:val="00863326"/>
    <w:rsid w:val="008671B7"/>
    <w:rsid w:val="00867E69"/>
    <w:rsid w:val="0088052F"/>
    <w:rsid w:val="00881442"/>
    <w:rsid w:val="0088662E"/>
    <w:rsid w:val="00887F40"/>
    <w:rsid w:val="008927B0"/>
    <w:rsid w:val="008A185A"/>
    <w:rsid w:val="008A5170"/>
    <w:rsid w:val="008A756C"/>
    <w:rsid w:val="008B4939"/>
    <w:rsid w:val="008B4C22"/>
    <w:rsid w:val="008D1CF4"/>
    <w:rsid w:val="008D5775"/>
    <w:rsid w:val="008F0231"/>
    <w:rsid w:val="008F4F64"/>
    <w:rsid w:val="008F7D82"/>
    <w:rsid w:val="009043EC"/>
    <w:rsid w:val="0091311E"/>
    <w:rsid w:val="0092036C"/>
    <w:rsid w:val="00920E30"/>
    <w:rsid w:val="00921338"/>
    <w:rsid w:val="00921654"/>
    <w:rsid w:val="009253BF"/>
    <w:rsid w:val="009376BD"/>
    <w:rsid w:val="00942EF5"/>
    <w:rsid w:val="0095790F"/>
    <w:rsid w:val="00960A41"/>
    <w:rsid w:val="0096344A"/>
    <w:rsid w:val="00974736"/>
    <w:rsid w:val="00975D70"/>
    <w:rsid w:val="00983F88"/>
    <w:rsid w:val="00987B3A"/>
    <w:rsid w:val="00990DF4"/>
    <w:rsid w:val="009A2FBD"/>
    <w:rsid w:val="009A31B8"/>
    <w:rsid w:val="009A320F"/>
    <w:rsid w:val="009A3C20"/>
    <w:rsid w:val="009B6B1C"/>
    <w:rsid w:val="009C688F"/>
    <w:rsid w:val="009D223B"/>
    <w:rsid w:val="009D5897"/>
    <w:rsid w:val="009D5CF7"/>
    <w:rsid w:val="009D66DE"/>
    <w:rsid w:val="009E0D72"/>
    <w:rsid w:val="009F18CD"/>
    <w:rsid w:val="009F4143"/>
    <w:rsid w:val="00A05277"/>
    <w:rsid w:val="00A1002C"/>
    <w:rsid w:val="00A32718"/>
    <w:rsid w:val="00A33F10"/>
    <w:rsid w:val="00A36F8F"/>
    <w:rsid w:val="00A375D8"/>
    <w:rsid w:val="00A46441"/>
    <w:rsid w:val="00A52408"/>
    <w:rsid w:val="00A56AAE"/>
    <w:rsid w:val="00A60330"/>
    <w:rsid w:val="00A734F3"/>
    <w:rsid w:val="00A87945"/>
    <w:rsid w:val="00AA0C5B"/>
    <w:rsid w:val="00AA2B04"/>
    <w:rsid w:val="00AB10FA"/>
    <w:rsid w:val="00AE34FB"/>
    <w:rsid w:val="00AE761E"/>
    <w:rsid w:val="00AF0BD0"/>
    <w:rsid w:val="00AF0E72"/>
    <w:rsid w:val="00AF7EF5"/>
    <w:rsid w:val="00B00D93"/>
    <w:rsid w:val="00B028E5"/>
    <w:rsid w:val="00B120E4"/>
    <w:rsid w:val="00B162E5"/>
    <w:rsid w:val="00B1778C"/>
    <w:rsid w:val="00B21F82"/>
    <w:rsid w:val="00B22D82"/>
    <w:rsid w:val="00B23941"/>
    <w:rsid w:val="00B239F8"/>
    <w:rsid w:val="00B262C0"/>
    <w:rsid w:val="00B323B1"/>
    <w:rsid w:val="00B357B1"/>
    <w:rsid w:val="00B3795D"/>
    <w:rsid w:val="00B51A5A"/>
    <w:rsid w:val="00B57949"/>
    <w:rsid w:val="00B6173D"/>
    <w:rsid w:val="00B63B0E"/>
    <w:rsid w:val="00B70911"/>
    <w:rsid w:val="00B76701"/>
    <w:rsid w:val="00B80949"/>
    <w:rsid w:val="00B81567"/>
    <w:rsid w:val="00B841B7"/>
    <w:rsid w:val="00BA0F58"/>
    <w:rsid w:val="00BA3580"/>
    <w:rsid w:val="00BA5069"/>
    <w:rsid w:val="00BA6441"/>
    <w:rsid w:val="00BB714D"/>
    <w:rsid w:val="00BC098C"/>
    <w:rsid w:val="00BD71F3"/>
    <w:rsid w:val="00BE0F99"/>
    <w:rsid w:val="00BF0494"/>
    <w:rsid w:val="00BF125B"/>
    <w:rsid w:val="00BF5134"/>
    <w:rsid w:val="00BF54F9"/>
    <w:rsid w:val="00BF69D1"/>
    <w:rsid w:val="00C021B2"/>
    <w:rsid w:val="00C02426"/>
    <w:rsid w:val="00C22FFE"/>
    <w:rsid w:val="00C2449A"/>
    <w:rsid w:val="00C34B67"/>
    <w:rsid w:val="00C4048A"/>
    <w:rsid w:val="00C42A40"/>
    <w:rsid w:val="00C506B0"/>
    <w:rsid w:val="00C63910"/>
    <w:rsid w:val="00C63FE5"/>
    <w:rsid w:val="00C64A83"/>
    <w:rsid w:val="00C72033"/>
    <w:rsid w:val="00C7276D"/>
    <w:rsid w:val="00C74668"/>
    <w:rsid w:val="00C76016"/>
    <w:rsid w:val="00C77DE2"/>
    <w:rsid w:val="00C841B1"/>
    <w:rsid w:val="00C84EFD"/>
    <w:rsid w:val="00C93FE9"/>
    <w:rsid w:val="00C945D1"/>
    <w:rsid w:val="00C96829"/>
    <w:rsid w:val="00CA1525"/>
    <w:rsid w:val="00CA1C5C"/>
    <w:rsid w:val="00CA36EB"/>
    <w:rsid w:val="00CA4BF0"/>
    <w:rsid w:val="00CA6214"/>
    <w:rsid w:val="00CB33B4"/>
    <w:rsid w:val="00CB434D"/>
    <w:rsid w:val="00CB6C2E"/>
    <w:rsid w:val="00CC0EC0"/>
    <w:rsid w:val="00CC4407"/>
    <w:rsid w:val="00CC7DBD"/>
    <w:rsid w:val="00CE7403"/>
    <w:rsid w:val="00CF647E"/>
    <w:rsid w:val="00D121F3"/>
    <w:rsid w:val="00D13807"/>
    <w:rsid w:val="00D168CB"/>
    <w:rsid w:val="00D33AAE"/>
    <w:rsid w:val="00D34D61"/>
    <w:rsid w:val="00D378EF"/>
    <w:rsid w:val="00D411FF"/>
    <w:rsid w:val="00D45EFE"/>
    <w:rsid w:val="00D51FBD"/>
    <w:rsid w:val="00D53652"/>
    <w:rsid w:val="00D55507"/>
    <w:rsid w:val="00D63716"/>
    <w:rsid w:val="00D777AA"/>
    <w:rsid w:val="00D83F93"/>
    <w:rsid w:val="00D843B4"/>
    <w:rsid w:val="00D9369C"/>
    <w:rsid w:val="00DA3CD0"/>
    <w:rsid w:val="00DC1620"/>
    <w:rsid w:val="00DC176C"/>
    <w:rsid w:val="00DC21F3"/>
    <w:rsid w:val="00DD11D9"/>
    <w:rsid w:val="00DD25C8"/>
    <w:rsid w:val="00DD73A0"/>
    <w:rsid w:val="00DF1F78"/>
    <w:rsid w:val="00E0238C"/>
    <w:rsid w:val="00E064AC"/>
    <w:rsid w:val="00E111EE"/>
    <w:rsid w:val="00E11E3B"/>
    <w:rsid w:val="00E13C50"/>
    <w:rsid w:val="00E1719A"/>
    <w:rsid w:val="00E24B19"/>
    <w:rsid w:val="00E26AD6"/>
    <w:rsid w:val="00E33D33"/>
    <w:rsid w:val="00E4175A"/>
    <w:rsid w:val="00E45D6D"/>
    <w:rsid w:val="00E4609D"/>
    <w:rsid w:val="00E52118"/>
    <w:rsid w:val="00E53865"/>
    <w:rsid w:val="00E61A39"/>
    <w:rsid w:val="00E70A00"/>
    <w:rsid w:val="00E80EC2"/>
    <w:rsid w:val="00E867A4"/>
    <w:rsid w:val="00E910B6"/>
    <w:rsid w:val="00E961B5"/>
    <w:rsid w:val="00E9676C"/>
    <w:rsid w:val="00EA43E4"/>
    <w:rsid w:val="00EA6AFC"/>
    <w:rsid w:val="00EB3810"/>
    <w:rsid w:val="00EB7A29"/>
    <w:rsid w:val="00ED7857"/>
    <w:rsid w:val="00EE2202"/>
    <w:rsid w:val="00EF505D"/>
    <w:rsid w:val="00EF7279"/>
    <w:rsid w:val="00F050D9"/>
    <w:rsid w:val="00F0734C"/>
    <w:rsid w:val="00F13125"/>
    <w:rsid w:val="00F131F7"/>
    <w:rsid w:val="00F149AA"/>
    <w:rsid w:val="00F156A0"/>
    <w:rsid w:val="00F2216A"/>
    <w:rsid w:val="00F24C84"/>
    <w:rsid w:val="00F355EB"/>
    <w:rsid w:val="00F409A2"/>
    <w:rsid w:val="00F446BF"/>
    <w:rsid w:val="00F45394"/>
    <w:rsid w:val="00F50923"/>
    <w:rsid w:val="00F557A1"/>
    <w:rsid w:val="00F6113A"/>
    <w:rsid w:val="00F65DCC"/>
    <w:rsid w:val="00F771DD"/>
    <w:rsid w:val="00F81401"/>
    <w:rsid w:val="00F82ABF"/>
    <w:rsid w:val="00F854F3"/>
    <w:rsid w:val="00F905A3"/>
    <w:rsid w:val="00F9075F"/>
    <w:rsid w:val="00F91867"/>
    <w:rsid w:val="00F94851"/>
    <w:rsid w:val="00FA306A"/>
    <w:rsid w:val="00FB120C"/>
    <w:rsid w:val="00FB47D1"/>
    <w:rsid w:val="00FB57C5"/>
    <w:rsid w:val="00FD1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5A5AA9"/>
    <w:pPr>
      <w:outlineLvl w:val="0"/>
    </w:pPr>
    <w:rPr>
      <w:kern w:val="0"/>
      <w:lang w:val="en-US"/>
    </w:rPr>
  </w:style>
  <w:style w:type="paragraph" w:styleId="Heading2">
    <w:name w:val="heading 2"/>
    <w:basedOn w:val="Normal"/>
    <w:next w:val="Normal"/>
    <w:link w:val="Heading2Char"/>
    <w:uiPriority w:val="9"/>
    <w:unhideWhenUsed/>
    <w:qFormat/>
    <w:rsid w:val="00C4048A"/>
    <w:pPr>
      <w:keepNext/>
      <w:keepLines/>
      <w:spacing w:before="200" w:after="0"/>
      <w:outlineLvl w:val="1"/>
    </w:pPr>
    <w:rPr>
      <w:rFonts w:asciiTheme="majorHAnsi" w:eastAsia="Times"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AA9"/>
    <w:rPr>
      <w:rFonts w:asciiTheme="majorHAnsi" w:eastAsiaTheme="majorEastAsia" w:hAnsiTheme="majorHAnsi" w:cstheme="majorBidi"/>
      <w:color w:val="17365D" w:themeColor="text2" w:themeShade="BF"/>
      <w:spacing w:val="5"/>
      <w:sz w:val="52"/>
      <w:szCs w:val="52"/>
      <w:lang w:val="en-US"/>
    </w:rPr>
  </w:style>
  <w:style w:type="paragraph" w:customStyle="1" w:styleId="DHHSbody">
    <w:name w:val="DHHS body"/>
    <w:rsid w:val="005A5AA9"/>
    <w:pPr>
      <w:spacing w:after="120" w:line="270" w:lineRule="atLeast"/>
    </w:pPr>
    <w:rPr>
      <w:rFonts w:ascii="Arial" w:eastAsia="Times" w:hAnsi="Arial" w:cs="Times New Roman"/>
      <w:sz w:val="20"/>
      <w:szCs w:val="20"/>
    </w:rPr>
  </w:style>
  <w:style w:type="paragraph" w:styleId="Title">
    <w:name w:val="Title"/>
    <w:basedOn w:val="Normal"/>
    <w:next w:val="Normal"/>
    <w:link w:val="TitleChar"/>
    <w:uiPriority w:val="10"/>
    <w:qFormat/>
    <w:rsid w:val="005A5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AA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4048A"/>
    <w:rPr>
      <w:rFonts w:asciiTheme="majorHAnsi" w:eastAsia="Times" w:hAnsiTheme="majorHAnsi" w:cstheme="majorBidi"/>
      <w:b/>
      <w:bCs/>
      <w:color w:val="4F81BD" w:themeColor="accent1"/>
      <w:sz w:val="26"/>
      <w:szCs w:val="26"/>
    </w:rPr>
  </w:style>
  <w:style w:type="paragraph" w:customStyle="1" w:styleId="DHSNumberText">
    <w:name w:val="DHS Number Text"/>
    <w:basedOn w:val="Normal"/>
    <w:uiPriority w:val="2"/>
    <w:rsid w:val="00C4048A"/>
    <w:pPr>
      <w:numPr>
        <w:numId w:val="1"/>
      </w:numPr>
      <w:spacing w:after="120" w:line="270" w:lineRule="atLeast"/>
      <w:jc w:val="both"/>
    </w:pPr>
    <w:rPr>
      <w:rFonts w:ascii="Arial" w:eastAsia="Times" w:hAnsi="Arial" w:cs="Times New Roman"/>
      <w:szCs w:val="20"/>
    </w:rPr>
  </w:style>
  <w:style w:type="paragraph" w:styleId="ListParagraph">
    <w:name w:val="List Paragraph"/>
    <w:basedOn w:val="Normal"/>
    <w:uiPriority w:val="34"/>
    <w:qFormat/>
    <w:rsid w:val="00C4048A"/>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796497"/>
    <w:rPr>
      <w:sz w:val="16"/>
      <w:szCs w:val="16"/>
    </w:rPr>
  </w:style>
  <w:style w:type="paragraph" w:styleId="CommentText">
    <w:name w:val="annotation text"/>
    <w:basedOn w:val="Normal"/>
    <w:link w:val="CommentTextChar"/>
    <w:uiPriority w:val="99"/>
    <w:semiHidden/>
    <w:unhideWhenUsed/>
    <w:rsid w:val="00796497"/>
    <w:pPr>
      <w:spacing w:line="240" w:lineRule="auto"/>
    </w:pPr>
    <w:rPr>
      <w:sz w:val="20"/>
      <w:szCs w:val="20"/>
    </w:rPr>
  </w:style>
  <w:style w:type="character" w:customStyle="1" w:styleId="CommentTextChar">
    <w:name w:val="Comment Text Char"/>
    <w:basedOn w:val="DefaultParagraphFont"/>
    <w:link w:val="CommentText"/>
    <w:uiPriority w:val="99"/>
    <w:semiHidden/>
    <w:rsid w:val="00796497"/>
    <w:rPr>
      <w:sz w:val="20"/>
      <w:szCs w:val="20"/>
    </w:rPr>
  </w:style>
  <w:style w:type="paragraph" w:styleId="CommentSubject">
    <w:name w:val="annotation subject"/>
    <w:basedOn w:val="CommentText"/>
    <w:next w:val="CommentText"/>
    <w:link w:val="CommentSubjectChar"/>
    <w:uiPriority w:val="99"/>
    <w:semiHidden/>
    <w:unhideWhenUsed/>
    <w:rsid w:val="00796497"/>
    <w:rPr>
      <w:b/>
      <w:bCs/>
    </w:rPr>
  </w:style>
  <w:style w:type="character" w:customStyle="1" w:styleId="CommentSubjectChar">
    <w:name w:val="Comment Subject Char"/>
    <w:basedOn w:val="CommentTextChar"/>
    <w:link w:val="CommentSubject"/>
    <w:uiPriority w:val="99"/>
    <w:semiHidden/>
    <w:rsid w:val="00796497"/>
    <w:rPr>
      <w:b/>
      <w:bCs/>
      <w:sz w:val="20"/>
      <w:szCs w:val="20"/>
    </w:rPr>
  </w:style>
  <w:style w:type="paragraph" w:styleId="BalloonText">
    <w:name w:val="Balloon Text"/>
    <w:basedOn w:val="Normal"/>
    <w:link w:val="BalloonTextChar"/>
    <w:uiPriority w:val="99"/>
    <w:semiHidden/>
    <w:unhideWhenUsed/>
    <w:rsid w:val="00796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97"/>
    <w:rPr>
      <w:rFonts w:ascii="Tahoma" w:hAnsi="Tahoma" w:cs="Tahoma"/>
      <w:sz w:val="16"/>
      <w:szCs w:val="16"/>
    </w:rPr>
  </w:style>
  <w:style w:type="table" w:styleId="TableGrid">
    <w:name w:val="Table Grid"/>
    <w:basedOn w:val="TableNormal"/>
    <w:uiPriority w:val="59"/>
    <w:rsid w:val="00F6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3A2"/>
    <w:rPr>
      <w:color w:val="0000FF" w:themeColor="hyperlink"/>
      <w:u w:val="single"/>
    </w:rPr>
  </w:style>
  <w:style w:type="character" w:customStyle="1" w:styleId="apple-converted-space">
    <w:name w:val="apple-converted-space"/>
    <w:basedOn w:val="DefaultParagraphFont"/>
    <w:rsid w:val="000843A2"/>
  </w:style>
  <w:style w:type="paragraph" w:customStyle="1" w:styleId="ContactInfo">
    <w:name w:val="Contact Info"/>
    <w:basedOn w:val="Normal"/>
    <w:uiPriority w:val="99"/>
    <w:qFormat/>
    <w:rsid w:val="00E867A4"/>
    <w:pPr>
      <w:spacing w:after="0" w:line="264" w:lineRule="auto"/>
      <w:jc w:val="center"/>
    </w:pPr>
    <w:rPr>
      <w:color w:val="595959" w:themeColor="text1" w:themeTint="A6"/>
      <w:sz w:val="20"/>
      <w:szCs w:val="20"/>
      <w:lang w:val="en-US" w:eastAsia="ja-JP"/>
    </w:rPr>
  </w:style>
  <w:style w:type="paragraph" w:styleId="Subtitle">
    <w:name w:val="Subtitle"/>
    <w:basedOn w:val="Normal"/>
    <w:next w:val="Normal"/>
    <w:link w:val="SubtitleChar"/>
    <w:uiPriority w:val="11"/>
    <w:unhideWhenUsed/>
    <w:qFormat/>
    <w:rsid w:val="00E867A4"/>
    <w:pPr>
      <w:numPr>
        <w:ilvl w:val="1"/>
      </w:numPr>
      <w:spacing w:after="480" w:line="264" w:lineRule="auto"/>
      <w:jc w:val="center"/>
    </w:pPr>
    <w:rPr>
      <w:rFonts w:asciiTheme="majorHAnsi" w:eastAsiaTheme="majorEastAsia" w:hAnsiTheme="majorHAnsi" w:cstheme="majorBidi"/>
      <w:caps/>
      <w:color w:val="595959" w:themeColor="text1" w:themeTint="A6"/>
      <w:sz w:val="26"/>
      <w:szCs w:val="20"/>
      <w:lang w:val="en-US" w:eastAsia="ja-JP"/>
    </w:rPr>
  </w:style>
  <w:style w:type="character" w:customStyle="1" w:styleId="SubtitleChar">
    <w:name w:val="Subtitle Char"/>
    <w:basedOn w:val="DefaultParagraphFont"/>
    <w:link w:val="Subtitle"/>
    <w:uiPriority w:val="11"/>
    <w:rsid w:val="00E867A4"/>
    <w:rPr>
      <w:rFonts w:asciiTheme="majorHAnsi" w:eastAsiaTheme="majorEastAsia" w:hAnsiTheme="majorHAnsi" w:cstheme="majorBidi"/>
      <w:caps/>
      <w:color w:val="595959" w:themeColor="text1" w:themeTint="A6"/>
      <w:sz w:val="26"/>
      <w:szCs w:val="20"/>
      <w:lang w:val="en-US" w:eastAsia="ja-JP"/>
    </w:rPr>
  </w:style>
  <w:style w:type="paragraph" w:styleId="NoSpacing">
    <w:name w:val="No Spacing"/>
    <w:link w:val="NoSpacingChar"/>
    <w:uiPriority w:val="1"/>
    <w:unhideWhenUsed/>
    <w:qFormat/>
    <w:rsid w:val="00E867A4"/>
    <w:pPr>
      <w:spacing w:after="0" w:line="240" w:lineRule="auto"/>
    </w:pPr>
    <w:rPr>
      <w:sz w:val="20"/>
      <w:szCs w:val="20"/>
      <w:lang w:val="en-US" w:eastAsia="ja-JP"/>
    </w:rPr>
  </w:style>
  <w:style w:type="character" w:customStyle="1" w:styleId="NoSpacingChar">
    <w:name w:val="No Spacing Char"/>
    <w:basedOn w:val="DefaultParagraphFont"/>
    <w:link w:val="NoSpacing"/>
    <w:uiPriority w:val="1"/>
    <w:rsid w:val="00E867A4"/>
    <w:rPr>
      <w:sz w:val="20"/>
      <w:szCs w:val="20"/>
      <w:lang w:val="en-US" w:eastAsia="ja-JP"/>
    </w:rPr>
  </w:style>
  <w:style w:type="paragraph" w:styleId="TOCHeading">
    <w:name w:val="TOC Heading"/>
    <w:basedOn w:val="Heading1"/>
    <w:next w:val="Normal"/>
    <w:uiPriority w:val="39"/>
    <w:semiHidden/>
    <w:unhideWhenUsed/>
    <w:qFormat/>
    <w:rsid w:val="003F74C6"/>
    <w:pPr>
      <w:keepNext/>
      <w:keepLines/>
      <w:pBdr>
        <w:bottom w:val="none" w:sz="0" w:space="0" w:color="auto"/>
      </w:pBdr>
      <w:spacing w:before="480" w:after="0" w:line="276" w:lineRule="auto"/>
      <w:contextualSpacing w:val="0"/>
      <w:outlineLvl w:val="9"/>
    </w:pPr>
    <w:rPr>
      <w:b/>
      <w:bCs/>
      <w:color w:val="365F91" w:themeColor="accent1" w:themeShade="BF"/>
      <w:spacing w:val="0"/>
      <w:sz w:val="28"/>
      <w:szCs w:val="28"/>
      <w:lang w:eastAsia="ja-JP"/>
    </w:rPr>
  </w:style>
  <w:style w:type="paragraph" w:styleId="TOC1">
    <w:name w:val="toc 1"/>
    <w:basedOn w:val="Normal"/>
    <w:next w:val="Normal"/>
    <w:autoRedefine/>
    <w:uiPriority w:val="39"/>
    <w:unhideWhenUsed/>
    <w:rsid w:val="003F74C6"/>
    <w:pPr>
      <w:spacing w:after="100"/>
    </w:pPr>
  </w:style>
  <w:style w:type="paragraph" w:styleId="TOC2">
    <w:name w:val="toc 2"/>
    <w:basedOn w:val="Normal"/>
    <w:next w:val="Normal"/>
    <w:autoRedefine/>
    <w:uiPriority w:val="39"/>
    <w:unhideWhenUsed/>
    <w:rsid w:val="003F74C6"/>
    <w:pPr>
      <w:spacing w:after="100"/>
      <w:ind w:left="220"/>
    </w:pPr>
  </w:style>
  <w:style w:type="paragraph" w:styleId="FootnoteText">
    <w:name w:val="footnote text"/>
    <w:basedOn w:val="Normal"/>
    <w:link w:val="FootnoteTextChar"/>
    <w:uiPriority w:val="99"/>
    <w:semiHidden/>
    <w:unhideWhenUsed/>
    <w:rsid w:val="000A4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51"/>
    <w:rPr>
      <w:sz w:val="20"/>
      <w:szCs w:val="20"/>
    </w:rPr>
  </w:style>
  <w:style w:type="character" w:styleId="FootnoteReference">
    <w:name w:val="footnote reference"/>
    <w:basedOn w:val="DefaultParagraphFont"/>
    <w:uiPriority w:val="99"/>
    <w:semiHidden/>
    <w:unhideWhenUsed/>
    <w:rsid w:val="000A4E51"/>
    <w:rPr>
      <w:vertAlign w:val="superscript"/>
    </w:rPr>
  </w:style>
  <w:style w:type="paragraph" w:styleId="Revision">
    <w:name w:val="Revision"/>
    <w:hidden/>
    <w:uiPriority w:val="99"/>
    <w:semiHidden/>
    <w:rsid w:val="00E910B6"/>
    <w:pPr>
      <w:spacing w:after="0" w:line="240" w:lineRule="auto"/>
    </w:pPr>
  </w:style>
  <w:style w:type="paragraph" w:styleId="Header">
    <w:name w:val="header"/>
    <w:basedOn w:val="Normal"/>
    <w:link w:val="HeaderChar"/>
    <w:uiPriority w:val="99"/>
    <w:unhideWhenUsed/>
    <w:rsid w:val="00BA0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F58"/>
  </w:style>
  <w:style w:type="paragraph" w:styleId="Footer">
    <w:name w:val="footer"/>
    <w:basedOn w:val="Normal"/>
    <w:link w:val="FooterChar"/>
    <w:uiPriority w:val="99"/>
    <w:unhideWhenUsed/>
    <w:rsid w:val="00BA0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F58"/>
  </w:style>
  <w:style w:type="character" w:styleId="Emphasis">
    <w:name w:val="Emphasis"/>
    <w:uiPriority w:val="20"/>
    <w:qFormat/>
    <w:rsid w:val="006028D4"/>
    <w:rPr>
      <w:rFonts w:ascii="Arial" w:eastAsia="Times New Roman" w:hAnsi="Arial" w:cs="Arial"/>
      <w:b/>
      <w:iCs/>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5A5AA9"/>
    <w:pPr>
      <w:outlineLvl w:val="0"/>
    </w:pPr>
    <w:rPr>
      <w:kern w:val="0"/>
      <w:lang w:val="en-US"/>
    </w:rPr>
  </w:style>
  <w:style w:type="paragraph" w:styleId="Heading2">
    <w:name w:val="heading 2"/>
    <w:basedOn w:val="Normal"/>
    <w:next w:val="Normal"/>
    <w:link w:val="Heading2Char"/>
    <w:uiPriority w:val="9"/>
    <w:unhideWhenUsed/>
    <w:qFormat/>
    <w:rsid w:val="00C4048A"/>
    <w:pPr>
      <w:keepNext/>
      <w:keepLines/>
      <w:spacing w:before="200" w:after="0"/>
      <w:outlineLvl w:val="1"/>
    </w:pPr>
    <w:rPr>
      <w:rFonts w:asciiTheme="majorHAnsi" w:eastAsia="Times"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AA9"/>
    <w:rPr>
      <w:rFonts w:asciiTheme="majorHAnsi" w:eastAsiaTheme="majorEastAsia" w:hAnsiTheme="majorHAnsi" w:cstheme="majorBidi"/>
      <w:color w:val="17365D" w:themeColor="text2" w:themeShade="BF"/>
      <w:spacing w:val="5"/>
      <w:sz w:val="52"/>
      <w:szCs w:val="52"/>
      <w:lang w:val="en-US"/>
    </w:rPr>
  </w:style>
  <w:style w:type="paragraph" w:customStyle="1" w:styleId="DHHSbody">
    <w:name w:val="DHHS body"/>
    <w:rsid w:val="005A5AA9"/>
    <w:pPr>
      <w:spacing w:after="120" w:line="270" w:lineRule="atLeast"/>
    </w:pPr>
    <w:rPr>
      <w:rFonts w:ascii="Arial" w:eastAsia="Times" w:hAnsi="Arial" w:cs="Times New Roman"/>
      <w:sz w:val="20"/>
      <w:szCs w:val="20"/>
    </w:rPr>
  </w:style>
  <w:style w:type="paragraph" w:styleId="Title">
    <w:name w:val="Title"/>
    <w:basedOn w:val="Normal"/>
    <w:next w:val="Normal"/>
    <w:link w:val="TitleChar"/>
    <w:uiPriority w:val="10"/>
    <w:qFormat/>
    <w:rsid w:val="005A5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AA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4048A"/>
    <w:rPr>
      <w:rFonts w:asciiTheme="majorHAnsi" w:eastAsia="Times" w:hAnsiTheme="majorHAnsi" w:cstheme="majorBidi"/>
      <w:b/>
      <w:bCs/>
      <w:color w:val="4F81BD" w:themeColor="accent1"/>
      <w:sz w:val="26"/>
      <w:szCs w:val="26"/>
    </w:rPr>
  </w:style>
  <w:style w:type="paragraph" w:customStyle="1" w:styleId="DHSNumberText">
    <w:name w:val="DHS Number Text"/>
    <w:basedOn w:val="Normal"/>
    <w:uiPriority w:val="2"/>
    <w:rsid w:val="00C4048A"/>
    <w:pPr>
      <w:numPr>
        <w:numId w:val="1"/>
      </w:numPr>
      <w:spacing w:after="120" w:line="270" w:lineRule="atLeast"/>
      <w:jc w:val="both"/>
    </w:pPr>
    <w:rPr>
      <w:rFonts w:ascii="Arial" w:eastAsia="Times" w:hAnsi="Arial" w:cs="Times New Roman"/>
      <w:szCs w:val="20"/>
    </w:rPr>
  </w:style>
  <w:style w:type="paragraph" w:styleId="ListParagraph">
    <w:name w:val="List Paragraph"/>
    <w:basedOn w:val="Normal"/>
    <w:uiPriority w:val="34"/>
    <w:qFormat/>
    <w:rsid w:val="00C4048A"/>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796497"/>
    <w:rPr>
      <w:sz w:val="16"/>
      <w:szCs w:val="16"/>
    </w:rPr>
  </w:style>
  <w:style w:type="paragraph" w:styleId="CommentText">
    <w:name w:val="annotation text"/>
    <w:basedOn w:val="Normal"/>
    <w:link w:val="CommentTextChar"/>
    <w:uiPriority w:val="99"/>
    <w:semiHidden/>
    <w:unhideWhenUsed/>
    <w:rsid w:val="00796497"/>
    <w:pPr>
      <w:spacing w:line="240" w:lineRule="auto"/>
    </w:pPr>
    <w:rPr>
      <w:sz w:val="20"/>
      <w:szCs w:val="20"/>
    </w:rPr>
  </w:style>
  <w:style w:type="character" w:customStyle="1" w:styleId="CommentTextChar">
    <w:name w:val="Comment Text Char"/>
    <w:basedOn w:val="DefaultParagraphFont"/>
    <w:link w:val="CommentText"/>
    <w:uiPriority w:val="99"/>
    <w:semiHidden/>
    <w:rsid w:val="00796497"/>
    <w:rPr>
      <w:sz w:val="20"/>
      <w:szCs w:val="20"/>
    </w:rPr>
  </w:style>
  <w:style w:type="paragraph" w:styleId="CommentSubject">
    <w:name w:val="annotation subject"/>
    <w:basedOn w:val="CommentText"/>
    <w:next w:val="CommentText"/>
    <w:link w:val="CommentSubjectChar"/>
    <w:uiPriority w:val="99"/>
    <w:semiHidden/>
    <w:unhideWhenUsed/>
    <w:rsid w:val="00796497"/>
    <w:rPr>
      <w:b/>
      <w:bCs/>
    </w:rPr>
  </w:style>
  <w:style w:type="character" w:customStyle="1" w:styleId="CommentSubjectChar">
    <w:name w:val="Comment Subject Char"/>
    <w:basedOn w:val="CommentTextChar"/>
    <w:link w:val="CommentSubject"/>
    <w:uiPriority w:val="99"/>
    <w:semiHidden/>
    <w:rsid w:val="00796497"/>
    <w:rPr>
      <w:b/>
      <w:bCs/>
      <w:sz w:val="20"/>
      <w:szCs w:val="20"/>
    </w:rPr>
  </w:style>
  <w:style w:type="paragraph" w:styleId="BalloonText">
    <w:name w:val="Balloon Text"/>
    <w:basedOn w:val="Normal"/>
    <w:link w:val="BalloonTextChar"/>
    <w:uiPriority w:val="99"/>
    <w:semiHidden/>
    <w:unhideWhenUsed/>
    <w:rsid w:val="00796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97"/>
    <w:rPr>
      <w:rFonts w:ascii="Tahoma" w:hAnsi="Tahoma" w:cs="Tahoma"/>
      <w:sz w:val="16"/>
      <w:szCs w:val="16"/>
    </w:rPr>
  </w:style>
  <w:style w:type="table" w:styleId="TableGrid">
    <w:name w:val="Table Grid"/>
    <w:basedOn w:val="TableNormal"/>
    <w:uiPriority w:val="59"/>
    <w:rsid w:val="00F6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3A2"/>
    <w:rPr>
      <w:color w:val="0000FF" w:themeColor="hyperlink"/>
      <w:u w:val="single"/>
    </w:rPr>
  </w:style>
  <w:style w:type="character" w:customStyle="1" w:styleId="apple-converted-space">
    <w:name w:val="apple-converted-space"/>
    <w:basedOn w:val="DefaultParagraphFont"/>
    <w:rsid w:val="000843A2"/>
  </w:style>
  <w:style w:type="paragraph" w:customStyle="1" w:styleId="ContactInfo">
    <w:name w:val="Contact Info"/>
    <w:basedOn w:val="Normal"/>
    <w:uiPriority w:val="99"/>
    <w:qFormat/>
    <w:rsid w:val="00E867A4"/>
    <w:pPr>
      <w:spacing w:after="0" w:line="264" w:lineRule="auto"/>
      <w:jc w:val="center"/>
    </w:pPr>
    <w:rPr>
      <w:color w:val="595959" w:themeColor="text1" w:themeTint="A6"/>
      <w:sz w:val="20"/>
      <w:szCs w:val="20"/>
      <w:lang w:val="en-US" w:eastAsia="ja-JP"/>
    </w:rPr>
  </w:style>
  <w:style w:type="paragraph" w:styleId="Subtitle">
    <w:name w:val="Subtitle"/>
    <w:basedOn w:val="Normal"/>
    <w:next w:val="Normal"/>
    <w:link w:val="SubtitleChar"/>
    <w:uiPriority w:val="11"/>
    <w:unhideWhenUsed/>
    <w:qFormat/>
    <w:rsid w:val="00E867A4"/>
    <w:pPr>
      <w:numPr>
        <w:ilvl w:val="1"/>
      </w:numPr>
      <w:spacing w:after="480" w:line="264" w:lineRule="auto"/>
      <w:jc w:val="center"/>
    </w:pPr>
    <w:rPr>
      <w:rFonts w:asciiTheme="majorHAnsi" w:eastAsiaTheme="majorEastAsia" w:hAnsiTheme="majorHAnsi" w:cstheme="majorBidi"/>
      <w:caps/>
      <w:color w:val="595959" w:themeColor="text1" w:themeTint="A6"/>
      <w:sz w:val="26"/>
      <w:szCs w:val="20"/>
      <w:lang w:val="en-US" w:eastAsia="ja-JP"/>
    </w:rPr>
  </w:style>
  <w:style w:type="character" w:customStyle="1" w:styleId="SubtitleChar">
    <w:name w:val="Subtitle Char"/>
    <w:basedOn w:val="DefaultParagraphFont"/>
    <w:link w:val="Subtitle"/>
    <w:uiPriority w:val="11"/>
    <w:rsid w:val="00E867A4"/>
    <w:rPr>
      <w:rFonts w:asciiTheme="majorHAnsi" w:eastAsiaTheme="majorEastAsia" w:hAnsiTheme="majorHAnsi" w:cstheme="majorBidi"/>
      <w:caps/>
      <w:color w:val="595959" w:themeColor="text1" w:themeTint="A6"/>
      <w:sz w:val="26"/>
      <w:szCs w:val="20"/>
      <w:lang w:val="en-US" w:eastAsia="ja-JP"/>
    </w:rPr>
  </w:style>
  <w:style w:type="paragraph" w:styleId="NoSpacing">
    <w:name w:val="No Spacing"/>
    <w:link w:val="NoSpacingChar"/>
    <w:uiPriority w:val="1"/>
    <w:unhideWhenUsed/>
    <w:qFormat/>
    <w:rsid w:val="00E867A4"/>
    <w:pPr>
      <w:spacing w:after="0" w:line="240" w:lineRule="auto"/>
    </w:pPr>
    <w:rPr>
      <w:sz w:val="20"/>
      <w:szCs w:val="20"/>
      <w:lang w:val="en-US" w:eastAsia="ja-JP"/>
    </w:rPr>
  </w:style>
  <w:style w:type="character" w:customStyle="1" w:styleId="NoSpacingChar">
    <w:name w:val="No Spacing Char"/>
    <w:basedOn w:val="DefaultParagraphFont"/>
    <w:link w:val="NoSpacing"/>
    <w:uiPriority w:val="1"/>
    <w:rsid w:val="00E867A4"/>
    <w:rPr>
      <w:sz w:val="20"/>
      <w:szCs w:val="20"/>
      <w:lang w:val="en-US" w:eastAsia="ja-JP"/>
    </w:rPr>
  </w:style>
  <w:style w:type="paragraph" w:styleId="TOCHeading">
    <w:name w:val="TOC Heading"/>
    <w:basedOn w:val="Heading1"/>
    <w:next w:val="Normal"/>
    <w:uiPriority w:val="39"/>
    <w:semiHidden/>
    <w:unhideWhenUsed/>
    <w:qFormat/>
    <w:rsid w:val="003F74C6"/>
    <w:pPr>
      <w:keepNext/>
      <w:keepLines/>
      <w:pBdr>
        <w:bottom w:val="none" w:sz="0" w:space="0" w:color="auto"/>
      </w:pBdr>
      <w:spacing w:before="480" w:after="0" w:line="276" w:lineRule="auto"/>
      <w:contextualSpacing w:val="0"/>
      <w:outlineLvl w:val="9"/>
    </w:pPr>
    <w:rPr>
      <w:b/>
      <w:bCs/>
      <w:color w:val="365F91" w:themeColor="accent1" w:themeShade="BF"/>
      <w:spacing w:val="0"/>
      <w:sz w:val="28"/>
      <w:szCs w:val="28"/>
      <w:lang w:eastAsia="ja-JP"/>
    </w:rPr>
  </w:style>
  <w:style w:type="paragraph" w:styleId="TOC1">
    <w:name w:val="toc 1"/>
    <w:basedOn w:val="Normal"/>
    <w:next w:val="Normal"/>
    <w:autoRedefine/>
    <w:uiPriority w:val="39"/>
    <w:unhideWhenUsed/>
    <w:rsid w:val="003F74C6"/>
    <w:pPr>
      <w:spacing w:after="100"/>
    </w:pPr>
  </w:style>
  <w:style w:type="paragraph" w:styleId="TOC2">
    <w:name w:val="toc 2"/>
    <w:basedOn w:val="Normal"/>
    <w:next w:val="Normal"/>
    <w:autoRedefine/>
    <w:uiPriority w:val="39"/>
    <w:unhideWhenUsed/>
    <w:rsid w:val="003F74C6"/>
    <w:pPr>
      <w:spacing w:after="100"/>
      <w:ind w:left="220"/>
    </w:pPr>
  </w:style>
  <w:style w:type="paragraph" w:styleId="FootnoteText">
    <w:name w:val="footnote text"/>
    <w:basedOn w:val="Normal"/>
    <w:link w:val="FootnoteTextChar"/>
    <w:uiPriority w:val="99"/>
    <w:semiHidden/>
    <w:unhideWhenUsed/>
    <w:rsid w:val="000A4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51"/>
    <w:rPr>
      <w:sz w:val="20"/>
      <w:szCs w:val="20"/>
    </w:rPr>
  </w:style>
  <w:style w:type="character" w:styleId="FootnoteReference">
    <w:name w:val="footnote reference"/>
    <w:basedOn w:val="DefaultParagraphFont"/>
    <w:uiPriority w:val="99"/>
    <w:semiHidden/>
    <w:unhideWhenUsed/>
    <w:rsid w:val="000A4E51"/>
    <w:rPr>
      <w:vertAlign w:val="superscript"/>
    </w:rPr>
  </w:style>
  <w:style w:type="paragraph" w:styleId="Revision">
    <w:name w:val="Revision"/>
    <w:hidden/>
    <w:uiPriority w:val="99"/>
    <w:semiHidden/>
    <w:rsid w:val="00E910B6"/>
    <w:pPr>
      <w:spacing w:after="0" w:line="240" w:lineRule="auto"/>
    </w:pPr>
  </w:style>
  <w:style w:type="paragraph" w:styleId="Header">
    <w:name w:val="header"/>
    <w:basedOn w:val="Normal"/>
    <w:link w:val="HeaderChar"/>
    <w:uiPriority w:val="99"/>
    <w:unhideWhenUsed/>
    <w:rsid w:val="00BA0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F58"/>
  </w:style>
  <w:style w:type="paragraph" w:styleId="Footer">
    <w:name w:val="footer"/>
    <w:basedOn w:val="Normal"/>
    <w:link w:val="FooterChar"/>
    <w:uiPriority w:val="99"/>
    <w:unhideWhenUsed/>
    <w:rsid w:val="00BA0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F58"/>
  </w:style>
  <w:style w:type="character" w:styleId="Emphasis">
    <w:name w:val="Emphasis"/>
    <w:uiPriority w:val="20"/>
    <w:qFormat/>
    <w:rsid w:val="006028D4"/>
    <w:rPr>
      <w:rFonts w:ascii="Arial" w:eastAsia="Times New Roman" w:hAnsi="Arial" w:cs="Arial"/>
      <w:b/>
      <w:i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etics@dhs.vic.gov.a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health.vic.gov.au/hospitals-and-health-services/patient-care/speciality-diagnostics-therapeutics/genetic-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A4AE-58AB-4B52-98FC-6762780F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5092</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Genomic Health Care for Victoria</vt:lpstr>
    </vt:vector>
  </TitlesOfParts>
  <Company>Department of Health</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 Health Care for Victoria</dc:title>
  <dc:subject>A DISCUSSION PAPER</dc:subject>
  <dc:creator>Margaret Howard</dc:creator>
  <cp:lastModifiedBy>Paul Fennesy</cp:lastModifiedBy>
  <cp:revision>2</cp:revision>
  <cp:lastPrinted>2016-07-18T05:15:00Z</cp:lastPrinted>
  <dcterms:created xsi:type="dcterms:W3CDTF">2016-08-10T00:32:00Z</dcterms:created>
  <dcterms:modified xsi:type="dcterms:W3CDTF">2016-08-10T00:32:00Z</dcterms:modified>
</cp:coreProperties>
</file>